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76" w:rsidRPr="00D24D76" w:rsidRDefault="00D24D76">
      <w:pPr>
        <w:rPr>
          <w:noProof/>
          <w:lang w:eastAsia="en-GB"/>
        </w:rPr>
      </w:pPr>
      <w:r>
        <w:rPr>
          <w:b/>
          <w:noProof/>
          <w:lang w:eastAsia="en-GB"/>
        </w:rPr>
        <w:t>Sensitivity analysis</w:t>
      </w:r>
      <w:r w:rsidRPr="00356D12">
        <w:rPr>
          <w:b/>
          <w:noProof/>
          <w:lang w:eastAsia="en-GB"/>
        </w:rPr>
        <w:t>:</w:t>
      </w:r>
      <w:r w:rsidR="007A2AB5">
        <w:rPr>
          <w:b/>
          <w:noProof/>
          <w:lang w:eastAsia="en-GB"/>
        </w:rPr>
        <w:t xml:space="preserve"> Table 4</w:t>
      </w:r>
      <w:r w:rsidR="00FD54FF">
        <w:rPr>
          <w:b/>
          <w:noProof/>
          <w:lang w:eastAsia="en-GB"/>
        </w:rPr>
        <w:t>:</w:t>
      </w:r>
      <w:r w:rsidRPr="00356D12">
        <w:rPr>
          <w:b/>
          <w:noProof/>
          <w:lang w:eastAsia="en-GB"/>
        </w:rPr>
        <w:t xml:space="preserve"> </w:t>
      </w:r>
      <w:r w:rsidRPr="00356D12">
        <w:rPr>
          <w:noProof/>
          <w:sz w:val="20"/>
          <w:szCs w:val="20"/>
          <w:lang w:eastAsia="en-GB"/>
        </w:rPr>
        <w:t xml:space="preserve">Prevalence of </w:t>
      </w:r>
      <w:r w:rsidRPr="00356D12">
        <w:t xml:space="preserve">HIV related behaviours </w:t>
      </w:r>
      <w:r w:rsidRPr="00356D12">
        <w:rPr>
          <w:noProof/>
          <w:sz w:val="20"/>
          <w:szCs w:val="20"/>
          <w:lang w:eastAsia="en-GB"/>
        </w:rPr>
        <w:t>among MSM in the AURAH (n=991) and AURAH2 (n=1031) study and associatio</w:t>
      </w:r>
      <w:r>
        <w:rPr>
          <w:noProof/>
          <w:sz w:val="20"/>
          <w:szCs w:val="20"/>
          <w:lang w:eastAsia="en-GB"/>
        </w:rPr>
        <w:t xml:space="preserve">n of these measures with study </w:t>
      </w:r>
      <w:r w:rsidRPr="00D24D76">
        <w:rPr>
          <w:noProof/>
          <w:lang w:eastAsia="en-GB"/>
        </w:rPr>
        <w:t>(</w:t>
      </w:r>
      <w:r w:rsidRPr="00D24D76">
        <w:rPr>
          <w:rFonts w:ascii="Calibri" w:eastAsia="Times New Roman" w:hAnsi="Calibri" w:cs="Times New Roman"/>
          <w:color w:val="000000"/>
          <w:lang w:eastAsia="en-GB"/>
        </w:rPr>
        <w:t xml:space="preserve">missing values </w:t>
      </w:r>
      <w:r w:rsidR="00FC78EF">
        <w:rPr>
          <w:rFonts w:ascii="Calibri" w:eastAsia="Times New Roman" w:hAnsi="Calibri" w:cs="Times New Roman"/>
          <w:color w:val="000000"/>
          <w:lang w:eastAsia="en-GB"/>
        </w:rPr>
        <w:t>treated as a separate category</w:t>
      </w:r>
      <w:bookmarkStart w:id="0" w:name="_GoBack"/>
      <w:bookmarkEnd w:id="0"/>
      <w:r w:rsidRPr="00D24D76">
        <w:rPr>
          <w:rFonts w:ascii="Calibri" w:eastAsia="Times New Roman" w:hAnsi="Calibri" w:cs="Times New Roman"/>
          <w:color w:val="000000"/>
          <w:lang w:eastAsia="en-GB"/>
        </w:rPr>
        <w:t xml:space="preserve"> for each variable in adjusted models)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tbl>
      <w:tblPr>
        <w:tblStyle w:val="TableGrid"/>
        <w:tblW w:w="4889" w:type="pct"/>
        <w:tblLook w:val="04A0" w:firstRow="1" w:lastRow="0" w:firstColumn="1" w:lastColumn="0" w:noHBand="0" w:noVBand="1"/>
      </w:tblPr>
      <w:tblGrid>
        <w:gridCol w:w="4162"/>
        <w:gridCol w:w="1041"/>
        <w:gridCol w:w="2829"/>
        <w:gridCol w:w="1837"/>
        <w:gridCol w:w="1272"/>
        <w:gridCol w:w="1699"/>
        <w:gridCol w:w="1019"/>
      </w:tblGrid>
      <w:tr w:rsidR="00D24D76" w:rsidRPr="00D24D76" w:rsidTr="00D24D76">
        <w:trPr>
          <w:trHeight w:val="576"/>
        </w:trPr>
        <w:tc>
          <w:tcPr>
            <w:tcW w:w="1502" w:type="pct"/>
            <w:vMerge w:val="restart"/>
            <w:shd w:val="clear" w:color="auto" w:fill="A6A6A6" w:themeFill="background1" w:themeFillShade="A6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9441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Measures of sexual behaviour</w:t>
            </w:r>
          </w:p>
        </w:tc>
        <w:tc>
          <w:tcPr>
            <w:tcW w:w="376" w:type="pct"/>
            <w:vMerge w:val="restart"/>
            <w:shd w:val="clear" w:color="auto" w:fill="A6A6A6" w:themeFill="background1" w:themeFillShade="A6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Study</w:t>
            </w:r>
          </w:p>
        </w:tc>
        <w:tc>
          <w:tcPr>
            <w:tcW w:w="1021" w:type="pct"/>
            <w:vMerge w:val="restart"/>
            <w:shd w:val="clear" w:color="auto" w:fill="A6A6A6" w:themeFill="background1" w:themeFillShade="A6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Prevalence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n(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%)</w:t>
            </w:r>
            <w:r w:rsidRPr="0089441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 </w:t>
            </w:r>
          </w:p>
        </w:tc>
        <w:tc>
          <w:tcPr>
            <w:tcW w:w="663" w:type="pct"/>
            <w:vMerge w:val="restart"/>
            <w:shd w:val="clear" w:color="auto" w:fill="A6A6A6" w:themeFill="background1" w:themeFillShade="A6"/>
            <w:vAlign w:val="center"/>
            <w:hideMark/>
          </w:tcPr>
          <w:p w:rsidR="00D24D76" w:rsidRDefault="00D24D76" w:rsidP="0036040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Unadjusted PR</w:t>
            </w:r>
            <w:r w:rsidRPr="00A613D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</w:t>
            </w:r>
            <w:r w:rsidRPr="00A613D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(95% CI)</w:t>
            </w:r>
          </w:p>
          <w:p w:rsidR="00D24D76" w:rsidRPr="00A613D4" w:rsidRDefault="00D24D76" w:rsidP="0036040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AURAH* vs AURAH2</w:t>
            </w:r>
          </w:p>
        </w:tc>
        <w:tc>
          <w:tcPr>
            <w:tcW w:w="459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D24D76" w:rsidRPr="00AF0ACB" w:rsidRDefault="00D24D76" w:rsidP="0036040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 </w:t>
            </w:r>
            <w:r w:rsidRPr="0089441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value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  <w:t>**</w:t>
            </w:r>
          </w:p>
        </w:tc>
        <w:tc>
          <w:tcPr>
            <w:tcW w:w="613" w:type="pct"/>
            <w:vMerge w:val="restart"/>
            <w:shd w:val="clear" w:color="auto" w:fill="A6A6A6" w:themeFill="background1" w:themeFillShade="A6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9441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Adjusted* PR (95%CI)</w:t>
            </w:r>
          </w:p>
        </w:tc>
        <w:tc>
          <w:tcPr>
            <w:tcW w:w="368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D24D76" w:rsidRPr="00AF0ACB" w:rsidRDefault="00D24D76" w:rsidP="0036040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 </w:t>
            </w:r>
            <w:r w:rsidRPr="0089441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value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  <w:t>**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shd w:val="clear" w:color="auto" w:fill="A6A6A6" w:themeFill="background1" w:themeFillShade="A6"/>
            <w:hideMark/>
          </w:tcPr>
          <w:p w:rsidR="00D24D76" w:rsidRPr="00D24D76" w:rsidRDefault="00D24D76"/>
        </w:tc>
        <w:tc>
          <w:tcPr>
            <w:tcW w:w="376" w:type="pct"/>
            <w:vMerge/>
            <w:shd w:val="clear" w:color="auto" w:fill="A6A6A6" w:themeFill="background1" w:themeFillShade="A6"/>
            <w:hideMark/>
          </w:tcPr>
          <w:p w:rsidR="00D24D76" w:rsidRPr="00D24D76" w:rsidRDefault="00D24D76"/>
        </w:tc>
        <w:tc>
          <w:tcPr>
            <w:tcW w:w="1021" w:type="pct"/>
            <w:vMerge/>
            <w:shd w:val="clear" w:color="auto" w:fill="A6A6A6" w:themeFill="background1" w:themeFillShade="A6"/>
            <w:hideMark/>
          </w:tcPr>
          <w:p w:rsidR="00D24D76" w:rsidRPr="00D24D76" w:rsidRDefault="00D24D76"/>
        </w:tc>
        <w:tc>
          <w:tcPr>
            <w:tcW w:w="663" w:type="pct"/>
            <w:vMerge/>
            <w:shd w:val="clear" w:color="auto" w:fill="A6A6A6" w:themeFill="background1" w:themeFillShade="A6"/>
            <w:hideMark/>
          </w:tcPr>
          <w:p w:rsidR="00D24D76" w:rsidRPr="00D24D76" w:rsidRDefault="00D24D76"/>
        </w:tc>
        <w:tc>
          <w:tcPr>
            <w:tcW w:w="459" w:type="pct"/>
            <w:vMerge/>
            <w:shd w:val="clear" w:color="auto" w:fill="A6A6A6" w:themeFill="background1" w:themeFillShade="A6"/>
            <w:hideMark/>
          </w:tcPr>
          <w:p w:rsidR="00D24D76" w:rsidRPr="00D24D76" w:rsidRDefault="00D24D76"/>
        </w:tc>
        <w:tc>
          <w:tcPr>
            <w:tcW w:w="613" w:type="pct"/>
            <w:vMerge/>
            <w:shd w:val="clear" w:color="auto" w:fill="A6A6A6" w:themeFill="background1" w:themeFillShade="A6"/>
            <w:hideMark/>
          </w:tcPr>
          <w:p w:rsidR="00D24D76" w:rsidRPr="00D24D76" w:rsidRDefault="00D24D76"/>
        </w:tc>
        <w:tc>
          <w:tcPr>
            <w:tcW w:w="368" w:type="pct"/>
            <w:vMerge/>
            <w:shd w:val="clear" w:color="auto" w:fill="A6A6A6" w:themeFill="background1" w:themeFillShade="A6"/>
            <w:hideMark/>
          </w:tcPr>
          <w:p w:rsidR="00D24D76" w:rsidRPr="00D24D76" w:rsidRDefault="00D24D76"/>
        </w:tc>
      </w:tr>
      <w:tr w:rsidR="00D24D76" w:rsidRPr="00D24D76" w:rsidTr="00D24D76">
        <w:trPr>
          <w:trHeight w:val="288"/>
        </w:trPr>
        <w:tc>
          <w:tcPr>
            <w:tcW w:w="1502" w:type="pct"/>
            <w:vMerge w:val="restart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CLS</w:t>
            </w:r>
            <w:r w:rsidRPr="001F6AB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  <w:proofErr w:type="spellEnd"/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one or more partners (past 3 months)</w:t>
            </w: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558 (56.3%) (53.2%, 59.4%)</w:t>
            </w:r>
          </w:p>
        </w:tc>
        <w:tc>
          <w:tcPr>
            <w:tcW w:w="663" w:type="pct"/>
            <w:vMerge w:val="restart"/>
            <w:hideMark/>
          </w:tcPr>
          <w:p w:rsidR="00D24D76" w:rsidRPr="00D24D76" w:rsidRDefault="00D24D76" w:rsidP="00D24D76">
            <w:r w:rsidRPr="00D24D76">
              <w:t>1.14 (1.07, 1.22)</w:t>
            </w:r>
          </w:p>
        </w:tc>
        <w:tc>
          <w:tcPr>
            <w:tcW w:w="459" w:type="pct"/>
            <w:vMerge w:val="restart"/>
            <w:hideMark/>
          </w:tcPr>
          <w:p w:rsidR="00D24D76" w:rsidRPr="00D24D76" w:rsidRDefault="00D24D76" w:rsidP="00D24D76">
            <w:r w:rsidRPr="00D24D76">
              <w:t>&lt;0.001</w:t>
            </w:r>
          </w:p>
        </w:tc>
        <w:tc>
          <w:tcPr>
            <w:tcW w:w="613" w:type="pct"/>
            <w:vMerge w:val="restart"/>
            <w:hideMark/>
          </w:tcPr>
          <w:p w:rsidR="00D24D76" w:rsidRPr="00D24D76" w:rsidRDefault="00D24D76" w:rsidP="00D24D76">
            <w:r w:rsidRPr="00D24D76">
              <w:t>1.14 (1.05, 1.23)</w:t>
            </w:r>
          </w:p>
        </w:tc>
        <w:tc>
          <w:tcPr>
            <w:tcW w:w="368" w:type="pct"/>
            <w:vMerge w:val="restart"/>
            <w:hideMark/>
          </w:tcPr>
          <w:p w:rsidR="00D24D76" w:rsidRPr="00D24D76" w:rsidRDefault="00D24D76" w:rsidP="00D24D76">
            <w:r w:rsidRPr="00D24D76">
              <w:t>0.001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vAlign w:val="center"/>
            <w:hideMark/>
          </w:tcPr>
          <w:p w:rsidR="00D24D76" w:rsidRPr="00D24D76" w:rsidRDefault="00D24D76" w:rsidP="00D24D76">
            <w:pPr>
              <w:jc w:val="center"/>
            </w:pP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AURAH2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664 (64.4%) (61.4%, 67.3%)</w:t>
            </w:r>
          </w:p>
        </w:tc>
        <w:tc>
          <w:tcPr>
            <w:tcW w:w="663" w:type="pct"/>
            <w:vMerge/>
            <w:hideMark/>
          </w:tcPr>
          <w:p w:rsidR="00D24D76" w:rsidRPr="00D24D76" w:rsidRDefault="00D24D76"/>
        </w:tc>
        <w:tc>
          <w:tcPr>
            <w:tcW w:w="459" w:type="pct"/>
            <w:vMerge/>
            <w:hideMark/>
          </w:tcPr>
          <w:p w:rsidR="00D24D76" w:rsidRPr="00D24D76" w:rsidRDefault="00D24D76"/>
        </w:tc>
        <w:tc>
          <w:tcPr>
            <w:tcW w:w="613" w:type="pct"/>
            <w:vMerge/>
            <w:hideMark/>
          </w:tcPr>
          <w:p w:rsidR="00D24D76" w:rsidRPr="00D24D76" w:rsidRDefault="00D24D76"/>
        </w:tc>
        <w:tc>
          <w:tcPr>
            <w:tcW w:w="368" w:type="pct"/>
            <w:vMerge/>
            <w:hideMark/>
          </w:tcPr>
          <w:p w:rsidR="00D24D76" w:rsidRPr="00D24D76" w:rsidRDefault="00D24D76"/>
        </w:tc>
      </w:tr>
      <w:tr w:rsidR="00D24D76" w:rsidRPr="00D24D76" w:rsidTr="00D24D76">
        <w:trPr>
          <w:trHeight w:val="288"/>
        </w:trPr>
        <w:tc>
          <w:tcPr>
            <w:tcW w:w="1502" w:type="pct"/>
            <w:vMerge w:val="restart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CLS with two or more partners (past 3 months)</w:t>
            </w: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286 (28.8%) (26.1%, 31.8%)</w:t>
            </w:r>
          </w:p>
        </w:tc>
        <w:tc>
          <w:tcPr>
            <w:tcW w:w="663" w:type="pct"/>
            <w:vMerge w:val="restart"/>
            <w:hideMark/>
          </w:tcPr>
          <w:p w:rsidR="00D24D76" w:rsidRPr="00D24D76" w:rsidRDefault="00D24D76" w:rsidP="00D24D76">
            <w:r w:rsidRPr="00D24D76">
              <w:t>1.22 (1.08, 1.39)</w:t>
            </w:r>
          </w:p>
        </w:tc>
        <w:tc>
          <w:tcPr>
            <w:tcW w:w="459" w:type="pct"/>
            <w:vMerge w:val="restart"/>
            <w:hideMark/>
          </w:tcPr>
          <w:p w:rsidR="00D24D76" w:rsidRPr="00D24D76" w:rsidRDefault="00D24D76" w:rsidP="00D24D76">
            <w:r w:rsidRPr="00D24D76">
              <w:t>0.002</w:t>
            </w:r>
          </w:p>
        </w:tc>
        <w:tc>
          <w:tcPr>
            <w:tcW w:w="613" w:type="pct"/>
            <w:vMerge w:val="restart"/>
            <w:hideMark/>
          </w:tcPr>
          <w:p w:rsidR="00D24D76" w:rsidRPr="00D24D76" w:rsidRDefault="00D24D76" w:rsidP="00D24D76">
            <w:r w:rsidRPr="00D24D76">
              <w:t>1.22 (1.05, 1.41)</w:t>
            </w:r>
          </w:p>
        </w:tc>
        <w:tc>
          <w:tcPr>
            <w:tcW w:w="368" w:type="pct"/>
            <w:vMerge w:val="restart"/>
            <w:hideMark/>
          </w:tcPr>
          <w:p w:rsidR="00D24D76" w:rsidRPr="00D24D76" w:rsidRDefault="00D24D76" w:rsidP="00D24D76">
            <w:r w:rsidRPr="00D24D76">
              <w:t>0.008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vAlign w:val="center"/>
            <w:hideMark/>
          </w:tcPr>
          <w:p w:rsidR="00D24D76" w:rsidRPr="00D24D76" w:rsidRDefault="00D24D76" w:rsidP="00D24D76">
            <w:pPr>
              <w:jc w:val="center"/>
            </w:pP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AURAH2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365 (35.4%) (32.5%, 38.4%)</w:t>
            </w:r>
          </w:p>
        </w:tc>
        <w:tc>
          <w:tcPr>
            <w:tcW w:w="663" w:type="pct"/>
            <w:vMerge/>
            <w:hideMark/>
          </w:tcPr>
          <w:p w:rsidR="00D24D76" w:rsidRPr="00D24D76" w:rsidRDefault="00D24D76"/>
        </w:tc>
        <w:tc>
          <w:tcPr>
            <w:tcW w:w="459" w:type="pct"/>
            <w:vMerge/>
            <w:hideMark/>
          </w:tcPr>
          <w:p w:rsidR="00D24D76" w:rsidRPr="00D24D76" w:rsidRDefault="00D24D76"/>
        </w:tc>
        <w:tc>
          <w:tcPr>
            <w:tcW w:w="613" w:type="pct"/>
            <w:vMerge/>
            <w:hideMark/>
          </w:tcPr>
          <w:p w:rsidR="00D24D76" w:rsidRPr="00D24D76" w:rsidRDefault="00D24D76"/>
        </w:tc>
        <w:tc>
          <w:tcPr>
            <w:tcW w:w="368" w:type="pct"/>
            <w:vMerge/>
            <w:hideMark/>
          </w:tcPr>
          <w:p w:rsidR="00D24D76" w:rsidRPr="00D24D76" w:rsidRDefault="00D24D76"/>
        </w:tc>
      </w:tr>
      <w:tr w:rsidR="00D24D76" w:rsidRPr="00D24D76" w:rsidTr="00D24D76">
        <w:trPr>
          <w:trHeight w:val="288"/>
        </w:trPr>
        <w:tc>
          <w:tcPr>
            <w:tcW w:w="1502" w:type="pct"/>
            <w:vMerge w:val="restart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CLS with unknown/HIV+ status partner(s) (past 3 months)</w:t>
            </w: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310 (31.3%) (28.4%, 34.2)</w:t>
            </w:r>
          </w:p>
        </w:tc>
        <w:tc>
          <w:tcPr>
            <w:tcW w:w="663" w:type="pct"/>
            <w:vMerge w:val="restart"/>
            <w:hideMark/>
          </w:tcPr>
          <w:p w:rsidR="00D24D76" w:rsidRPr="00D24D76" w:rsidRDefault="00D24D76" w:rsidP="00D24D76">
            <w:r w:rsidRPr="00D24D76">
              <w:t>1.00 (0.88, 1.14)</w:t>
            </w:r>
          </w:p>
        </w:tc>
        <w:tc>
          <w:tcPr>
            <w:tcW w:w="459" w:type="pct"/>
            <w:vMerge w:val="restart"/>
            <w:hideMark/>
          </w:tcPr>
          <w:p w:rsidR="00D24D76" w:rsidRPr="00D24D76" w:rsidRDefault="00D24D76" w:rsidP="00D24D76">
            <w:r w:rsidRPr="00D24D76">
              <w:t>0.944</w:t>
            </w:r>
          </w:p>
        </w:tc>
        <w:tc>
          <w:tcPr>
            <w:tcW w:w="613" w:type="pct"/>
            <w:vMerge w:val="restart"/>
            <w:hideMark/>
          </w:tcPr>
          <w:p w:rsidR="00D24D76" w:rsidRPr="00D24D76" w:rsidRDefault="00D24D76" w:rsidP="00D24D76">
            <w:r w:rsidRPr="00D24D76">
              <w:t>0.98 (0.85, 1.14)</w:t>
            </w:r>
          </w:p>
        </w:tc>
        <w:tc>
          <w:tcPr>
            <w:tcW w:w="368" w:type="pct"/>
            <w:vMerge w:val="restart"/>
            <w:hideMark/>
          </w:tcPr>
          <w:p w:rsidR="00D24D76" w:rsidRPr="00D24D76" w:rsidRDefault="00D24D76" w:rsidP="00D24D76">
            <w:r w:rsidRPr="00D24D76">
              <w:t>0.893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vAlign w:val="center"/>
            <w:hideMark/>
          </w:tcPr>
          <w:p w:rsidR="00D24D76" w:rsidRPr="00D24D76" w:rsidRDefault="00D24D76" w:rsidP="00D24D76">
            <w:pPr>
              <w:jc w:val="center"/>
            </w:pP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AURAH2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324 (31.4%) (28.7%, 34.3%)</w:t>
            </w:r>
          </w:p>
        </w:tc>
        <w:tc>
          <w:tcPr>
            <w:tcW w:w="663" w:type="pct"/>
            <w:vMerge/>
            <w:hideMark/>
          </w:tcPr>
          <w:p w:rsidR="00D24D76" w:rsidRPr="00D24D76" w:rsidRDefault="00D24D76"/>
        </w:tc>
        <w:tc>
          <w:tcPr>
            <w:tcW w:w="459" w:type="pct"/>
            <w:vMerge/>
            <w:hideMark/>
          </w:tcPr>
          <w:p w:rsidR="00D24D76" w:rsidRPr="00D24D76" w:rsidRDefault="00D24D76"/>
        </w:tc>
        <w:tc>
          <w:tcPr>
            <w:tcW w:w="613" w:type="pct"/>
            <w:vMerge/>
            <w:hideMark/>
          </w:tcPr>
          <w:p w:rsidR="00D24D76" w:rsidRPr="00D24D76" w:rsidRDefault="00D24D76"/>
        </w:tc>
        <w:tc>
          <w:tcPr>
            <w:tcW w:w="368" w:type="pct"/>
            <w:vMerge/>
            <w:hideMark/>
          </w:tcPr>
          <w:p w:rsidR="00D24D76" w:rsidRPr="00D24D76" w:rsidRDefault="00D24D76"/>
        </w:tc>
      </w:tr>
      <w:tr w:rsidR="00D24D76" w:rsidRPr="00D24D76" w:rsidTr="00D24D76">
        <w:trPr>
          <w:trHeight w:val="288"/>
        </w:trPr>
        <w:tc>
          <w:tcPr>
            <w:tcW w:w="1502" w:type="pct"/>
            <w:vMerge w:val="restart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Receptive CLS with unknown HIV status partner(s) (past 3 months)</w:t>
            </w: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116 (11.7%) (9.8%, 13.8%)</w:t>
            </w:r>
          </w:p>
        </w:tc>
        <w:tc>
          <w:tcPr>
            <w:tcW w:w="663" w:type="pct"/>
            <w:vMerge w:val="restart"/>
            <w:hideMark/>
          </w:tcPr>
          <w:p w:rsidR="00D24D76" w:rsidRPr="00D24D76" w:rsidRDefault="00D24D76" w:rsidP="00D24D76">
            <w:r w:rsidRPr="00D24D76">
              <w:t>1.06 (0.84, 1.34)</w:t>
            </w:r>
          </w:p>
        </w:tc>
        <w:tc>
          <w:tcPr>
            <w:tcW w:w="459" w:type="pct"/>
            <w:vMerge w:val="restart"/>
            <w:hideMark/>
          </w:tcPr>
          <w:p w:rsidR="00D24D76" w:rsidRPr="00D24D76" w:rsidRDefault="00D24D76" w:rsidP="00D24D76">
            <w:r w:rsidRPr="00D24D76">
              <w:t>0.624</w:t>
            </w:r>
          </w:p>
        </w:tc>
        <w:tc>
          <w:tcPr>
            <w:tcW w:w="613" w:type="pct"/>
            <w:vMerge w:val="restart"/>
            <w:hideMark/>
          </w:tcPr>
          <w:p w:rsidR="00D24D76" w:rsidRPr="00D24D76" w:rsidRDefault="00D24D76" w:rsidP="00D24D76">
            <w:r w:rsidRPr="00D24D76">
              <w:t>0.98 (0.75, 1.28)</w:t>
            </w:r>
          </w:p>
        </w:tc>
        <w:tc>
          <w:tcPr>
            <w:tcW w:w="368" w:type="pct"/>
            <w:vMerge w:val="restart"/>
            <w:hideMark/>
          </w:tcPr>
          <w:p w:rsidR="00D24D76" w:rsidRPr="00D24D76" w:rsidRDefault="00D24D76" w:rsidP="00D24D76">
            <w:r w:rsidRPr="00D24D76">
              <w:t>0.901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vAlign w:val="center"/>
            <w:hideMark/>
          </w:tcPr>
          <w:p w:rsidR="00D24D76" w:rsidRPr="00D24D76" w:rsidRDefault="00D24D76" w:rsidP="00D24D76">
            <w:pPr>
              <w:jc w:val="center"/>
            </w:pP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AURAH2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128 (12.4%) (10.5%, 14.6%)</w:t>
            </w:r>
          </w:p>
        </w:tc>
        <w:tc>
          <w:tcPr>
            <w:tcW w:w="663" w:type="pct"/>
            <w:vMerge/>
            <w:hideMark/>
          </w:tcPr>
          <w:p w:rsidR="00D24D76" w:rsidRPr="00D24D76" w:rsidRDefault="00D24D76"/>
        </w:tc>
        <w:tc>
          <w:tcPr>
            <w:tcW w:w="459" w:type="pct"/>
            <w:vMerge/>
            <w:hideMark/>
          </w:tcPr>
          <w:p w:rsidR="00D24D76" w:rsidRPr="00D24D76" w:rsidRDefault="00D24D76"/>
        </w:tc>
        <w:tc>
          <w:tcPr>
            <w:tcW w:w="613" w:type="pct"/>
            <w:vMerge/>
            <w:hideMark/>
          </w:tcPr>
          <w:p w:rsidR="00D24D76" w:rsidRPr="00D24D76" w:rsidRDefault="00D24D76"/>
        </w:tc>
        <w:tc>
          <w:tcPr>
            <w:tcW w:w="368" w:type="pct"/>
            <w:vMerge/>
            <w:hideMark/>
          </w:tcPr>
          <w:p w:rsidR="00D24D76" w:rsidRPr="00D24D76" w:rsidRDefault="00D24D76"/>
        </w:tc>
      </w:tr>
      <w:tr w:rsidR="00D24D76" w:rsidRPr="00D24D76" w:rsidTr="00D24D76">
        <w:trPr>
          <w:trHeight w:val="288"/>
        </w:trPr>
        <w:tc>
          <w:tcPr>
            <w:tcW w:w="1502" w:type="pct"/>
            <w:vMerge w:val="restart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Self reported</w:t>
            </w:r>
            <w:proofErr w:type="spellEnd"/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bacterial </w:t>
            </w:r>
            <w:proofErr w:type="spellStart"/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STI</w:t>
            </w:r>
            <w:r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en-GB"/>
              </w:rPr>
              <w:t>b</w:t>
            </w:r>
            <w:proofErr w:type="spellEnd"/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diagnosis (past year)</w:t>
            </w: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303 (30.5%) (27.8%, 33.5%)</w:t>
            </w:r>
          </w:p>
        </w:tc>
        <w:tc>
          <w:tcPr>
            <w:tcW w:w="663" w:type="pct"/>
            <w:vMerge w:val="restart"/>
            <w:hideMark/>
          </w:tcPr>
          <w:p w:rsidR="00D24D76" w:rsidRPr="00D24D76" w:rsidRDefault="00D24D76" w:rsidP="00D24D76">
            <w:r w:rsidRPr="00D24D76">
              <w:t>1.30 (1.15, 1.47)</w:t>
            </w:r>
          </w:p>
        </w:tc>
        <w:tc>
          <w:tcPr>
            <w:tcW w:w="459" w:type="pct"/>
            <w:vMerge w:val="restart"/>
            <w:hideMark/>
          </w:tcPr>
          <w:p w:rsidR="00D24D76" w:rsidRPr="00D24D76" w:rsidRDefault="00D24D76" w:rsidP="00D24D76">
            <w:r w:rsidRPr="00D24D76">
              <w:t>&lt;0.001</w:t>
            </w:r>
          </w:p>
        </w:tc>
        <w:tc>
          <w:tcPr>
            <w:tcW w:w="613" w:type="pct"/>
            <w:vMerge w:val="restart"/>
            <w:hideMark/>
          </w:tcPr>
          <w:p w:rsidR="00D24D76" w:rsidRPr="00D24D76" w:rsidRDefault="00D24D76" w:rsidP="00D24D76">
            <w:r w:rsidRPr="00D24D76">
              <w:t>1.24 (1.08, 1.43)</w:t>
            </w:r>
          </w:p>
        </w:tc>
        <w:tc>
          <w:tcPr>
            <w:tcW w:w="368" w:type="pct"/>
            <w:vMerge w:val="restart"/>
            <w:hideMark/>
          </w:tcPr>
          <w:p w:rsidR="00D24D76" w:rsidRPr="00D24D76" w:rsidRDefault="00D24D76" w:rsidP="00D24D76">
            <w:r w:rsidRPr="00D24D76">
              <w:t>0.002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vAlign w:val="center"/>
            <w:hideMark/>
          </w:tcPr>
          <w:p w:rsidR="00D24D76" w:rsidRPr="00D24D76" w:rsidRDefault="00D24D76" w:rsidP="00D24D76">
            <w:pPr>
              <w:jc w:val="center"/>
            </w:pP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AURAH2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411 (39.8%) (36.9%, 42.9%)</w:t>
            </w:r>
          </w:p>
        </w:tc>
        <w:tc>
          <w:tcPr>
            <w:tcW w:w="663" w:type="pct"/>
            <w:vMerge/>
            <w:hideMark/>
          </w:tcPr>
          <w:p w:rsidR="00D24D76" w:rsidRPr="00D24D76" w:rsidRDefault="00D24D76"/>
        </w:tc>
        <w:tc>
          <w:tcPr>
            <w:tcW w:w="459" w:type="pct"/>
            <w:vMerge/>
            <w:hideMark/>
          </w:tcPr>
          <w:p w:rsidR="00D24D76" w:rsidRPr="00D24D76" w:rsidRDefault="00D24D76"/>
        </w:tc>
        <w:tc>
          <w:tcPr>
            <w:tcW w:w="613" w:type="pct"/>
            <w:vMerge/>
            <w:hideMark/>
          </w:tcPr>
          <w:p w:rsidR="00D24D76" w:rsidRPr="00D24D76" w:rsidRDefault="00D24D76"/>
        </w:tc>
        <w:tc>
          <w:tcPr>
            <w:tcW w:w="368" w:type="pct"/>
            <w:vMerge/>
            <w:hideMark/>
          </w:tcPr>
          <w:p w:rsidR="00D24D76" w:rsidRPr="00D24D76" w:rsidRDefault="00D24D76"/>
        </w:tc>
      </w:tr>
      <w:tr w:rsidR="00D24D76" w:rsidRPr="00D24D76" w:rsidTr="00D24D76">
        <w:trPr>
          <w:trHeight w:val="288"/>
        </w:trPr>
        <w:tc>
          <w:tcPr>
            <w:tcW w:w="1502" w:type="pct"/>
            <w:vMerge w:val="restart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Eleven or more new sexual partners (past year)</w:t>
            </w: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374 (37.7%) (34.8%, 40.1%)</w:t>
            </w:r>
          </w:p>
        </w:tc>
        <w:tc>
          <w:tcPr>
            <w:tcW w:w="663" w:type="pct"/>
            <w:vMerge w:val="restart"/>
            <w:hideMark/>
          </w:tcPr>
          <w:p w:rsidR="00D24D76" w:rsidRPr="00D24D76" w:rsidRDefault="00D24D76" w:rsidP="00D24D76">
            <w:r w:rsidRPr="00D24D76">
              <w:t>1.07 (0.97, 1.20)</w:t>
            </w:r>
          </w:p>
        </w:tc>
        <w:tc>
          <w:tcPr>
            <w:tcW w:w="459" w:type="pct"/>
            <w:vMerge w:val="restart"/>
            <w:hideMark/>
          </w:tcPr>
          <w:p w:rsidR="00D24D76" w:rsidRPr="00D24D76" w:rsidRDefault="00D24D76" w:rsidP="00D24D76">
            <w:r w:rsidRPr="00D24D76">
              <w:t>0.168</w:t>
            </w:r>
          </w:p>
        </w:tc>
        <w:tc>
          <w:tcPr>
            <w:tcW w:w="613" w:type="pct"/>
            <w:vMerge w:val="restart"/>
            <w:hideMark/>
          </w:tcPr>
          <w:p w:rsidR="00D24D76" w:rsidRPr="00D24D76" w:rsidRDefault="00D24D76" w:rsidP="00D24D76">
            <w:r w:rsidRPr="00D24D76">
              <w:t>1.10 (0.98, 1.25)</w:t>
            </w:r>
          </w:p>
        </w:tc>
        <w:tc>
          <w:tcPr>
            <w:tcW w:w="368" w:type="pct"/>
            <w:vMerge w:val="restart"/>
            <w:hideMark/>
          </w:tcPr>
          <w:p w:rsidR="00D24D76" w:rsidRPr="00D24D76" w:rsidRDefault="00D24D76" w:rsidP="00D24D76">
            <w:r w:rsidRPr="00D24D76">
              <w:t>0.097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vAlign w:val="center"/>
            <w:hideMark/>
          </w:tcPr>
          <w:p w:rsidR="00D24D76" w:rsidRPr="00D24D76" w:rsidRDefault="00D24D76" w:rsidP="00D24D76">
            <w:pPr>
              <w:jc w:val="center"/>
            </w:pP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AURAH2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420 (40.7%) (37.8%, 43.7%)</w:t>
            </w:r>
          </w:p>
        </w:tc>
        <w:tc>
          <w:tcPr>
            <w:tcW w:w="663" w:type="pct"/>
            <w:vMerge/>
            <w:hideMark/>
          </w:tcPr>
          <w:p w:rsidR="00D24D76" w:rsidRPr="00D24D76" w:rsidRDefault="00D24D76"/>
        </w:tc>
        <w:tc>
          <w:tcPr>
            <w:tcW w:w="459" w:type="pct"/>
            <w:vMerge/>
            <w:hideMark/>
          </w:tcPr>
          <w:p w:rsidR="00D24D76" w:rsidRPr="00D24D76" w:rsidRDefault="00D24D76"/>
        </w:tc>
        <w:tc>
          <w:tcPr>
            <w:tcW w:w="613" w:type="pct"/>
            <w:vMerge/>
            <w:hideMark/>
          </w:tcPr>
          <w:p w:rsidR="00D24D76" w:rsidRPr="00D24D76" w:rsidRDefault="00D24D76"/>
        </w:tc>
        <w:tc>
          <w:tcPr>
            <w:tcW w:w="368" w:type="pct"/>
            <w:vMerge/>
            <w:hideMark/>
          </w:tcPr>
          <w:p w:rsidR="00D24D76" w:rsidRPr="00D24D76" w:rsidRDefault="00D24D76"/>
        </w:tc>
      </w:tr>
      <w:tr w:rsidR="00D24D76" w:rsidRPr="00D24D76" w:rsidTr="00D24D76">
        <w:trPr>
          <w:trHeight w:val="288"/>
        </w:trPr>
        <w:tc>
          <w:tcPr>
            <w:tcW w:w="1502" w:type="pct"/>
            <w:vMerge w:val="restart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Group sex (past 3 months)</w:t>
            </w: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388 (39.1%) (36.2%, 42.2%)</w:t>
            </w:r>
          </w:p>
        </w:tc>
        <w:tc>
          <w:tcPr>
            <w:tcW w:w="663" w:type="pct"/>
            <w:vMerge w:val="restart"/>
            <w:hideMark/>
          </w:tcPr>
          <w:p w:rsidR="00D24D76" w:rsidRPr="00D24D76" w:rsidRDefault="00D24D76" w:rsidP="00D24D76">
            <w:r w:rsidRPr="00D24D76">
              <w:t>1.09 (0.99, 1.22)</w:t>
            </w:r>
          </w:p>
        </w:tc>
        <w:tc>
          <w:tcPr>
            <w:tcW w:w="459" w:type="pct"/>
            <w:vMerge w:val="restart"/>
            <w:hideMark/>
          </w:tcPr>
          <w:p w:rsidR="00D24D76" w:rsidRPr="00D24D76" w:rsidRDefault="00D24D76" w:rsidP="00D24D76">
            <w:r w:rsidRPr="00D24D76">
              <w:t>0.069</w:t>
            </w:r>
          </w:p>
        </w:tc>
        <w:tc>
          <w:tcPr>
            <w:tcW w:w="613" w:type="pct"/>
            <w:vMerge w:val="restart"/>
            <w:hideMark/>
          </w:tcPr>
          <w:p w:rsidR="00D24D76" w:rsidRPr="00D24D76" w:rsidRDefault="00D24D76" w:rsidP="00D24D76">
            <w:r w:rsidRPr="00D24D76">
              <w:t>1.11 (0.98, 1.25)</w:t>
            </w:r>
          </w:p>
        </w:tc>
        <w:tc>
          <w:tcPr>
            <w:tcW w:w="368" w:type="pct"/>
            <w:vMerge w:val="restart"/>
            <w:hideMark/>
          </w:tcPr>
          <w:p w:rsidR="00D24D76" w:rsidRPr="00D24D76" w:rsidRDefault="00D24D76" w:rsidP="00D24D76">
            <w:r w:rsidRPr="00D24D76">
              <w:t>0.08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vAlign w:val="center"/>
            <w:hideMark/>
          </w:tcPr>
          <w:p w:rsidR="00D24D76" w:rsidRPr="00D24D76" w:rsidRDefault="00D24D76" w:rsidP="00D24D76">
            <w:pPr>
              <w:jc w:val="center"/>
            </w:pP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AURAH2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438 (42.5) (39.5%, 45.5%)</w:t>
            </w:r>
          </w:p>
        </w:tc>
        <w:tc>
          <w:tcPr>
            <w:tcW w:w="663" w:type="pct"/>
            <w:vMerge/>
            <w:hideMark/>
          </w:tcPr>
          <w:p w:rsidR="00D24D76" w:rsidRPr="00D24D76" w:rsidRDefault="00D24D76"/>
        </w:tc>
        <w:tc>
          <w:tcPr>
            <w:tcW w:w="459" w:type="pct"/>
            <w:vMerge/>
            <w:hideMark/>
          </w:tcPr>
          <w:p w:rsidR="00D24D76" w:rsidRPr="00D24D76" w:rsidRDefault="00D24D76"/>
        </w:tc>
        <w:tc>
          <w:tcPr>
            <w:tcW w:w="613" w:type="pct"/>
            <w:vMerge/>
            <w:hideMark/>
          </w:tcPr>
          <w:p w:rsidR="00D24D76" w:rsidRPr="00D24D76" w:rsidRDefault="00D24D76"/>
        </w:tc>
        <w:tc>
          <w:tcPr>
            <w:tcW w:w="368" w:type="pct"/>
            <w:vMerge/>
            <w:hideMark/>
          </w:tcPr>
          <w:p w:rsidR="00D24D76" w:rsidRPr="00D24D76" w:rsidRDefault="00D24D76"/>
        </w:tc>
      </w:tr>
      <w:tr w:rsidR="00D24D76" w:rsidRPr="00D24D76" w:rsidTr="00D24D76">
        <w:trPr>
          <w:trHeight w:val="288"/>
        </w:trPr>
        <w:tc>
          <w:tcPr>
            <w:tcW w:w="1502" w:type="pct"/>
            <w:vMerge w:val="restart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PEP</w:t>
            </w:r>
            <w:r w:rsidRPr="00A613D4"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en-GB"/>
              </w:rPr>
              <w:t>c</w:t>
            </w:r>
            <w:proofErr w:type="spellEnd"/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use (past year)</w:t>
            </w: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151 (15.2%) (13.1%, 17.6%)</w:t>
            </w:r>
          </w:p>
        </w:tc>
        <w:tc>
          <w:tcPr>
            <w:tcW w:w="663" w:type="pct"/>
            <w:vMerge w:val="restart"/>
            <w:hideMark/>
          </w:tcPr>
          <w:p w:rsidR="00D24D76" w:rsidRPr="00D24D76" w:rsidRDefault="00D24D76" w:rsidP="00D24D76">
            <w:r w:rsidRPr="00D24D76">
              <w:t>1.43 (1.18, 1.72)</w:t>
            </w:r>
          </w:p>
        </w:tc>
        <w:tc>
          <w:tcPr>
            <w:tcW w:w="459" w:type="pct"/>
            <w:vMerge w:val="restart"/>
            <w:hideMark/>
          </w:tcPr>
          <w:p w:rsidR="00D24D76" w:rsidRPr="00D24D76" w:rsidRDefault="00D24D76" w:rsidP="00D24D76">
            <w:r w:rsidRPr="00D24D76">
              <w:t>&lt;0.001</w:t>
            </w:r>
          </w:p>
        </w:tc>
        <w:tc>
          <w:tcPr>
            <w:tcW w:w="613" w:type="pct"/>
            <w:vMerge w:val="restart"/>
            <w:hideMark/>
          </w:tcPr>
          <w:p w:rsidR="00D24D76" w:rsidRPr="00D24D76" w:rsidRDefault="00D24D76" w:rsidP="00D24D76">
            <w:r w:rsidRPr="00D24D76">
              <w:t>1.50 (1.21, 1.87)</w:t>
            </w:r>
          </w:p>
        </w:tc>
        <w:tc>
          <w:tcPr>
            <w:tcW w:w="368" w:type="pct"/>
            <w:vMerge w:val="restart"/>
            <w:hideMark/>
          </w:tcPr>
          <w:p w:rsidR="00D24D76" w:rsidRPr="00D24D76" w:rsidRDefault="00D24D76" w:rsidP="00D24D76">
            <w:r w:rsidRPr="00D24D76">
              <w:t>&lt;0.001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vAlign w:val="center"/>
            <w:hideMark/>
          </w:tcPr>
          <w:p w:rsidR="00D24D76" w:rsidRPr="00D24D76" w:rsidRDefault="00D24D76" w:rsidP="00D24D76">
            <w:pPr>
              <w:jc w:val="center"/>
            </w:pP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AURAH2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224 (21.7%) (19.3%, 24.4%)</w:t>
            </w:r>
          </w:p>
        </w:tc>
        <w:tc>
          <w:tcPr>
            <w:tcW w:w="663" w:type="pct"/>
            <w:vMerge/>
            <w:hideMark/>
          </w:tcPr>
          <w:p w:rsidR="00D24D76" w:rsidRPr="00D24D76" w:rsidRDefault="00D24D76"/>
        </w:tc>
        <w:tc>
          <w:tcPr>
            <w:tcW w:w="459" w:type="pct"/>
            <w:vMerge/>
            <w:hideMark/>
          </w:tcPr>
          <w:p w:rsidR="00D24D76" w:rsidRPr="00D24D76" w:rsidRDefault="00D24D76"/>
        </w:tc>
        <w:tc>
          <w:tcPr>
            <w:tcW w:w="613" w:type="pct"/>
            <w:vMerge/>
            <w:hideMark/>
          </w:tcPr>
          <w:p w:rsidR="00D24D76" w:rsidRPr="00D24D76" w:rsidRDefault="00D24D76"/>
        </w:tc>
        <w:tc>
          <w:tcPr>
            <w:tcW w:w="368" w:type="pct"/>
            <w:vMerge/>
            <w:hideMark/>
          </w:tcPr>
          <w:p w:rsidR="00D24D76" w:rsidRPr="00D24D76" w:rsidRDefault="00D24D76"/>
        </w:tc>
      </w:tr>
      <w:tr w:rsidR="00D24D76" w:rsidRPr="00D24D76" w:rsidTr="00D24D76">
        <w:trPr>
          <w:trHeight w:val="288"/>
        </w:trPr>
        <w:tc>
          <w:tcPr>
            <w:tcW w:w="1502" w:type="pct"/>
            <w:vMerge w:val="restart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PrEP</w:t>
            </w:r>
            <w:r w:rsidRPr="00A613D4"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en-GB"/>
              </w:rPr>
              <w:t>d</w:t>
            </w:r>
            <w:proofErr w:type="spellEnd"/>
            <w:r w:rsidRPr="00A613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use (past year)</w:t>
            </w: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38 (3.8%) (2.5%, 4.5%)</w:t>
            </w:r>
          </w:p>
        </w:tc>
        <w:tc>
          <w:tcPr>
            <w:tcW w:w="663" w:type="pct"/>
            <w:vMerge w:val="restart"/>
            <w:hideMark/>
          </w:tcPr>
          <w:p w:rsidR="00D24D76" w:rsidRPr="00D24D76" w:rsidRDefault="00D24D76" w:rsidP="00D24D76">
            <w:r w:rsidRPr="00D24D76">
              <w:t>1.44 (0.97, 2.15)</w:t>
            </w:r>
          </w:p>
        </w:tc>
        <w:tc>
          <w:tcPr>
            <w:tcW w:w="459" w:type="pct"/>
            <w:vMerge w:val="restart"/>
            <w:hideMark/>
          </w:tcPr>
          <w:p w:rsidR="00D24D76" w:rsidRPr="00D24D76" w:rsidRDefault="00D24D76" w:rsidP="00D24D76">
            <w:r w:rsidRPr="00D24D76">
              <w:t>0.074</w:t>
            </w:r>
          </w:p>
        </w:tc>
        <w:tc>
          <w:tcPr>
            <w:tcW w:w="613" w:type="pct"/>
            <w:vMerge w:val="restart"/>
            <w:hideMark/>
          </w:tcPr>
          <w:p w:rsidR="00D24D76" w:rsidRPr="00D24D76" w:rsidRDefault="00D24D76" w:rsidP="00D24D76">
            <w:r w:rsidRPr="00D24D76">
              <w:t>1.31 (0.70, 1.82)</w:t>
            </w:r>
          </w:p>
        </w:tc>
        <w:tc>
          <w:tcPr>
            <w:tcW w:w="368" w:type="pct"/>
            <w:vMerge w:val="restart"/>
            <w:hideMark/>
          </w:tcPr>
          <w:p w:rsidR="00D24D76" w:rsidRPr="00D24D76" w:rsidRDefault="00D24D76" w:rsidP="00D24D76">
            <w:r w:rsidRPr="00D24D76">
              <w:t>0.611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vAlign w:val="center"/>
            <w:hideMark/>
          </w:tcPr>
          <w:p w:rsidR="00D24D76" w:rsidRPr="00D24D76" w:rsidRDefault="00D24D76" w:rsidP="00D24D76">
            <w:pPr>
              <w:jc w:val="center"/>
            </w:pP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AURAH2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57 (5.5%) (4.3%, 7.1%)</w:t>
            </w:r>
          </w:p>
        </w:tc>
        <w:tc>
          <w:tcPr>
            <w:tcW w:w="663" w:type="pct"/>
            <w:vMerge/>
            <w:hideMark/>
          </w:tcPr>
          <w:p w:rsidR="00D24D76" w:rsidRPr="00D24D76" w:rsidRDefault="00D24D76"/>
        </w:tc>
        <w:tc>
          <w:tcPr>
            <w:tcW w:w="459" w:type="pct"/>
            <w:vMerge/>
            <w:hideMark/>
          </w:tcPr>
          <w:p w:rsidR="00D24D76" w:rsidRPr="00D24D76" w:rsidRDefault="00D24D76"/>
        </w:tc>
        <w:tc>
          <w:tcPr>
            <w:tcW w:w="613" w:type="pct"/>
            <w:vMerge/>
            <w:hideMark/>
          </w:tcPr>
          <w:p w:rsidR="00D24D76" w:rsidRPr="00D24D76" w:rsidRDefault="00D24D76"/>
        </w:tc>
        <w:tc>
          <w:tcPr>
            <w:tcW w:w="368" w:type="pct"/>
            <w:vMerge/>
            <w:hideMark/>
          </w:tcPr>
          <w:p w:rsidR="00D24D76" w:rsidRPr="00D24D76" w:rsidRDefault="00D24D76"/>
        </w:tc>
      </w:tr>
      <w:tr w:rsidR="00D24D76" w:rsidRPr="00D24D76" w:rsidTr="00D24D76">
        <w:trPr>
          <w:trHeight w:val="288"/>
        </w:trPr>
        <w:tc>
          <w:tcPr>
            <w:tcW w:w="1502" w:type="pct"/>
            <w:vMerge w:val="restart"/>
            <w:vAlign w:val="center"/>
            <w:hideMark/>
          </w:tcPr>
          <w:p w:rsidR="00D24D76" w:rsidRPr="0089441A" w:rsidRDefault="00D24D76" w:rsidP="0036040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41A">
              <w:rPr>
                <w:rFonts w:ascii="Calibri" w:eastAsia="Times New Roman" w:hAnsi="Calibri" w:cs="Times New Roman"/>
                <w:color w:val="000000"/>
                <w:lang w:eastAsia="en-GB"/>
              </w:rPr>
              <w:t>Recent HIV test (past 6 months)</w:t>
            </w:r>
          </w:p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631 (63.8%) (60.7%, 66.7%)</w:t>
            </w:r>
          </w:p>
        </w:tc>
        <w:tc>
          <w:tcPr>
            <w:tcW w:w="663" w:type="pct"/>
            <w:vMerge w:val="restart"/>
            <w:hideMark/>
          </w:tcPr>
          <w:p w:rsidR="00D24D76" w:rsidRPr="00D24D76" w:rsidRDefault="00D24D76" w:rsidP="00D24D76">
            <w:r w:rsidRPr="00D24D76">
              <w:t>1.15 (1.08, 1.22)</w:t>
            </w:r>
          </w:p>
        </w:tc>
        <w:tc>
          <w:tcPr>
            <w:tcW w:w="459" w:type="pct"/>
            <w:vMerge w:val="restart"/>
            <w:hideMark/>
          </w:tcPr>
          <w:p w:rsidR="00D24D76" w:rsidRPr="00D24D76" w:rsidRDefault="00D24D76" w:rsidP="00D24D76">
            <w:r w:rsidRPr="00D24D76">
              <w:t>&lt;0.001</w:t>
            </w:r>
          </w:p>
        </w:tc>
        <w:tc>
          <w:tcPr>
            <w:tcW w:w="613" w:type="pct"/>
            <w:vMerge w:val="restart"/>
            <w:hideMark/>
          </w:tcPr>
          <w:p w:rsidR="00D24D76" w:rsidRPr="00D24D76" w:rsidRDefault="00D24D76" w:rsidP="00D24D76">
            <w:r w:rsidRPr="00D24D76">
              <w:t>1.14 (1.06, 1.22)</w:t>
            </w:r>
          </w:p>
        </w:tc>
        <w:tc>
          <w:tcPr>
            <w:tcW w:w="368" w:type="pct"/>
            <w:vMerge w:val="restart"/>
            <w:hideMark/>
          </w:tcPr>
          <w:p w:rsidR="00D24D76" w:rsidRPr="00D24D76" w:rsidRDefault="00D24D76" w:rsidP="00D24D76">
            <w:r w:rsidRPr="00D24D76">
              <w:t>&lt;0.001</w:t>
            </w:r>
          </w:p>
        </w:tc>
      </w:tr>
      <w:tr w:rsidR="00D24D76" w:rsidRPr="00D24D76" w:rsidTr="00D24D76">
        <w:trPr>
          <w:trHeight w:val="288"/>
        </w:trPr>
        <w:tc>
          <w:tcPr>
            <w:tcW w:w="1502" w:type="pct"/>
            <w:vMerge/>
            <w:hideMark/>
          </w:tcPr>
          <w:p w:rsidR="00D24D76" w:rsidRPr="00D24D76" w:rsidRDefault="00D24D76"/>
        </w:tc>
        <w:tc>
          <w:tcPr>
            <w:tcW w:w="376" w:type="pct"/>
            <w:noWrap/>
            <w:hideMark/>
          </w:tcPr>
          <w:p w:rsidR="00D24D76" w:rsidRPr="00D24D76" w:rsidRDefault="00D24D76">
            <w:r w:rsidRPr="00D24D76">
              <w:t>AURAH2</w:t>
            </w:r>
          </w:p>
        </w:tc>
        <w:tc>
          <w:tcPr>
            <w:tcW w:w="1021" w:type="pct"/>
            <w:noWrap/>
            <w:hideMark/>
          </w:tcPr>
          <w:p w:rsidR="00D24D76" w:rsidRPr="00D24D76" w:rsidRDefault="00D24D76">
            <w:r w:rsidRPr="00D24D76">
              <w:t>757(73.4%) (70.6%, 76.0%)</w:t>
            </w:r>
          </w:p>
        </w:tc>
        <w:tc>
          <w:tcPr>
            <w:tcW w:w="663" w:type="pct"/>
            <w:vMerge/>
            <w:hideMark/>
          </w:tcPr>
          <w:p w:rsidR="00D24D76" w:rsidRPr="00D24D76" w:rsidRDefault="00D24D76"/>
        </w:tc>
        <w:tc>
          <w:tcPr>
            <w:tcW w:w="459" w:type="pct"/>
            <w:vMerge/>
            <w:hideMark/>
          </w:tcPr>
          <w:p w:rsidR="00D24D76" w:rsidRPr="00D24D76" w:rsidRDefault="00D24D76"/>
        </w:tc>
        <w:tc>
          <w:tcPr>
            <w:tcW w:w="613" w:type="pct"/>
            <w:vMerge/>
            <w:hideMark/>
          </w:tcPr>
          <w:p w:rsidR="00D24D76" w:rsidRPr="00D24D76" w:rsidRDefault="00D24D76"/>
        </w:tc>
        <w:tc>
          <w:tcPr>
            <w:tcW w:w="368" w:type="pct"/>
            <w:vMerge/>
            <w:hideMark/>
          </w:tcPr>
          <w:p w:rsidR="00D24D76" w:rsidRPr="00D24D76" w:rsidRDefault="00D24D76"/>
        </w:tc>
      </w:tr>
    </w:tbl>
    <w:p w:rsidR="007A2AB5" w:rsidRPr="00356D12" w:rsidRDefault="007A2AB5" w:rsidP="007A2AB5">
      <w:pPr>
        <w:spacing w:line="240" w:lineRule="auto"/>
        <w:contextualSpacing/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proofErr w:type="spellStart"/>
      <w:proofErr w:type="gramStart"/>
      <w:r w:rsidRPr="00356D12">
        <w:rPr>
          <w:rFonts w:ascii="Calibri" w:eastAsia="Times New Roman" w:hAnsi="Calibri" w:cs="Times New Roman"/>
          <w:b/>
          <w:bCs/>
          <w:color w:val="000000"/>
          <w:sz w:val="18"/>
          <w:szCs w:val="18"/>
          <w:vertAlign w:val="superscript"/>
          <w:lang w:eastAsia="en-GB"/>
        </w:rPr>
        <w:t>a</w:t>
      </w:r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Condomless</w:t>
      </w:r>
      <w:proofErr w:type="spellEnd"/>
      <w:proofErr w:type="gramEnd"/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sex </w:t>
      </w:r>
      <w:proofErr w:type="spellStart"/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vertAlign w:val="superscript"/>
          <w:lang w:eastAsia="en-GB"/>
        </w:rPr>
        <w:t>b</w:t>
      </w:r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Sexually</w:t>
      </w:r>
      <w:proofErr w:type="spellEnd"/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transmitted infection </w:t>
      </w:r>
      <w:proofErr w:type="spellStart"/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vertAlign w:val="superscript"/>
          <w:lang w:eastAsia="en-GB"/>
        </w:rPr>
        <w:t>c</w:t>
      </w:r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Post</w:t>
      </w:r>
      <w:proofErr w:type="spellEnd"/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exposure </w:t>
      </w:r>
      <w:proofErr w:type="spellStart"/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prohylaxis</w:t>
      </w:r>
      <w:proofErr w:type="spellEnd"/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vertAlign w:val="superscript"/>
          <w:lang w:eastAsia="en-GB"/>
        </w:rPr>
        <w:t>d</w:t>
      </w:r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Pre</w:t>
      </w:r>
      <w:proofErr w:type="spellEnd"/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-exposure prophylaxis</w:t>
      </w:r>
    </w:p>
    <w:p w:rsidR="007A2AB5" w:rsidRPr="00356D12" w:rsidRDefault="007A2AB5" w:rsidP="007A2AB5">
      <w:pPr>
        <w:spacing w:line="240" w:lineRule="auto"/>
        <w:contextualSpacing/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 w:rsidRPr="00356D1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* AURAH is the reference group</w:t>
      </w:r>
    </w:p>
    <w:p w:rsidR="007A2AB5" w:rsidRPr="00356D12" w:rsidRDefault="007A2AB5" w:rsidP="007A2AB5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356D12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**</w:t>
      </w:r>
      <w:r w:rsidRPr="00356D12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Adjusted model (ii) study, age (continuous variable), ethnicity, sexual identity, university education, ongoing relationship status</w:t>
      </w:r>
      <w:proofErr w:type="gramStart"/>
      <w:r w:rsidRPr="00356D12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,(</w:t>
      </w:r>
      <w:proofErr w:type="gramEnd"/>
      <w:r w:rsidRPr="00356D12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missing values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treated as a separate category</w:t>
      </w:r>
      <w:r w:rsidRPr="00356D12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for each variable in</w:t>
      </w:r>
      <w:r w:rsidRPr="00356D12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adjusted models) </w:t>
      </w:r>
      <w:r w:rsidRPr="00356D12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en-GB"/>
        </w:rPr>
        <w:t>***</w:t>
      </w:r>
      <w:r w:rsidRPr="00356D1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en-GB"/>
        </w:rPr>
        <w:t>p value</w:t>
      </w:r>
      <w:r w:rsidRPr="00356D12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by Wald test  </w:t>
      </w:r>
    </w:p>
    <w:p w:rsidR="00F7062F" w:rsidRDefault="00F7062F"/>
    <w:sectPr w:rsidR="00F7062F" w:rsidSect="00D24D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76"/>
    <w:rsid w:val="00675B49"/>
    <w:rsid w:val="007214DF"/>
    <w:rsid w:val="007A2AB5"/>
    <w:rsid w:val="00D24D76"/>
    <w:rsid w:val="00F7062F"/>
    <w:rsid w:val="00FC78EF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Janey</dc:creator>
  <cp:lastModifiedBy>Janey</cp:lastModifiedBy>
  <cp:revision>2</cp:revision>
  <dcterms:created xsi:type="dcterms:W3CDTF">2018-03-05T10:39:00Z</dcterms:created>
  <dcterms:modified xsi:type="dcterms:W3CDTF">2018-03-05T10:39:00Z</dcterms:modified>
</cp:coreProperties>
</file>