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C8" w:rsidRDefault="002A53C8" w:rsidP="002A53C8">
      <w:pPr>
        <w:rPr>
          <w:rFonts w:ascii="Candara" w:hAnsi="Candara"/>
        </w:rPr>
      </w:pPr>
      <w:r>
        <w:rPr>
          <w:rFonts w:ascii="Candara" w:hAnsi="Candara"/>
        </w:rPr>
        <w:t>Supplementary Table 1</w:t>
      </w:r>
      <w:r w:rsidRPr="00B047B7">
        <w:rPr>
          <w:rFonts w:ascii="Candara" w:hAnsi="Candara"/>
        </w:rPr>
        <w:t>. Quality assessment of included studies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2"/>
        <w:gridCol w:w="2329"/>
        <w:gridCol w:w="1662"/>
        <w:gridCol w:w="3588"/>
        <w:gridCol w:w="2284"/>
        <w:gridCol w:w="928"/>
        <w:gridCol w:w="887"/>
        <w:gridCol w:w="918"/>
      </w:tblGrid>
      <w:tr w:rsidR="002A53C8" w:rsidRPr="005D463E" w:rsidTr="00B61A85">
        <w:trPr>
          <w:trHeight w:val="63"/>
          <w:tblHeader/>
        </w:trPr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3C8" w:rsidRPr="005D463E" w:rsidRDefault="002A53C8" w:rsidP="00B61A85">
            <w:pPr>
              <w:rPr>
                <w:rFonts w:ascii="Candara" w:hAnsi="Candara"/>
                <w:b/>
                <w:sz w:val="16"/>
                <w:szCs w:val="16"/>
              </w:rPr>
            </w:pPr>
            <w:r w:rsidRPr="005D463E">
              <w:rPr>
                <w:rFonts w:ascii="Candara" w:hAnsi="Candara"/>
                <w:b/>
                <w:sz w:val="16"/>
                <w:szCs w:val="16"/>
              </w:rPr>
              <w:t>Study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3C8" w:rsidRPr="005D463E" w:rsidRDefault="002A53C8" w:rsidP="00B61A85">
            <w:pPr>
              <w:rPr>
                <w:rFonts w:ascii="Candara" w:hAnsi="Candara"/>
                <w:b/>
                <w:sz w:val="16"/>
                <w:szCs w:val="16"/>
              </w:rPr>
            </w:pPr>
            <w:r w:rsidRPr="005D463E">
              <w:rPr>
                <w:rFonts w:ascii="Candara" w:hAnsi="Candara"/>
                <w:b/>
                <w:sz w:val="16"/>
                <w:szCs w:val="16"/>
              </w:rPr>
              <w:t>Patient selection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3C8" w:rsidRPr="005D463E" w:rsidRDefault="002A53C8" w:rsidP="00B61A85">
            <w:pPr>
              <w:rPr>
                <w:rFonts w:ascii="Candara" w:hAnsi="Candara"/>
                <w:b/>
                <w:sz w:val="16"/>
                <w:szCs w:val="16"/>
              </w:rPr>
            </w:pPr>
            <w:r w:rsidRPr="005D463E">
              <w:rPr>
                <w:rFonts w:ascii="Candara" w:hAnsi="Candara"/>
                <w:b/>
                <w:sz w:val="16"/>
                <w:szCs w:val="16"/>
              </w:rPr>
              <w:t>Index test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3C8" w:rsidRPr="005D463E" w:rsidRDefault="002A53C8" w:rsidP="00B61A85">
            <w:pPr>
              <w:rPr>
                <w:rFonts w:ascii="Candara" w:hAnsi="Candara"/>
                <w:b/>
                <w:sz w:val="16"/>
                <w:szCs w:val="16"/>
              </w:rPr>
            </w:pPr>
            <w:r w:rsidRPr="005D463E">
              <w:rPr>
                <w:rFonts w:ascii="Candara" w:hAnsi="Candara"/>
                <w:b/>
                <w:sz w:val="16"/>
                <w:szCs w:val="16"/>
              </w:rPr>
              <w:t>Reference standard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3C8" w:rsidRPr="005D463E" w:rsidRDefault="002A53C8" w:rsidP="00B61A85">
            <w:pPr>
              <w:rPr>
                <w:rFonts w:ascii="Candara" w:hAnsi="Candara"/>
                <w:b/>
                <w:sz w:val="16"/>
                <w:szCs w:val="16"/>
              </w:rPr>
            </w:pPr>
            <w:r w:rsidRPr="005D463E">
              <w:rPr>
                <w:rFonts w:ascii="Candara" w:hAnsi="Candara"/>
                <w:b/>
                <w:sz w:val="16"/>
                <w:szCs w:val="16"/>
              </w:rPr>
              <w:t>Flow and Timing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53C8" w:rsidRPr="005D463E" w:rsidRDefault="002A53C8" w:rsidP="00B61A85">
            <w:pPr>
              <w:rPr>
                <w:rFonts w:ascii="Candara" w:hAnsi="Candara"/>
                <w:b/>
                <w:sz w:val="16"/>
                <w:szCs w:val="16"/>
              </w:rPr>
            </w:pPr>
            <w:r w:rsidRPr="005D463E">
              <w:rPr>
                <w:rFonts w:ascii="Candara" w:hAnsi="Candara"/>
                <w:b/>
                <w:sz w:val="16"/>
                <w:szCs w:val="16"/>
              </w:rPr>
              <w:t>Risk of bias</w:t>
            </w:r>
          </w:p>
        </w:tc>
      </w:tr>
      <w:tr w:rsidR="002A53C8" w:rsidRPr="005D463E" w:rsidTr="00B61A85">
        <w:trPr>
          <w:tblHeader/>
        </w:trPr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3C8" w:rsidRPr="005D463E" w:rsidRDefault="002A53C8" w:rsidP="00B61A85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3C8" w:rsidRPr="005D463E" w:rsidRDefault="002A53C8" w:rsidP="00B61A85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3C8" w:rsidRPr="005D463E" w:rsidRDefault="002A53C8" w:rsidP="00B61A85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3C8" w:rsidRPr="005D463E" w:rsidRDefault="002A53C8" w:rsidP="00B61A85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3C8" w:rsidRPr="005D463E" w:rsidRDefault="002A53C8" w:rsidP="00B61A85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3C8" w:rsidRPr="005D463E" w:rsidRDefault="002A53C8" w:rsidP="00B61A85">
            <w:pPr>
              <w:rPr>
                <w:rFonts w:ascii="Candara" w:hAnsi="Candara"/>
                <w:b/>
                <w:sz w:val="16"/>
                <w:szCs w:val="16"/>
              </w:rPr>
            </w:pPr>
            <w:r w:rsidRPr="005D463E">
              <w:rPr>
                <w:rFonts w:ascii="Candara" w:hAnsi="Candara"/>
                <w:b/>
                <w:sz w:val="16"/>
                <w:szCs w:val="16"/>
              </w:rPr>
              <w:t>Patient selection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3C8" w:rsidRPr="005D463E" w:rsidRDefault="002A53C8" w:rsidP="00B61A85">
            <w:pPr>
              <w:rPr>
                <w:rFonts w:ascii="Candara" w:hAnsi="Candara"/>
                <w:b/>
                <w:sz w:val="16"/>
                <w:szCs w:val="16"/>
              </w:rPr>
            </w:pPr>
            <w:r w:rsidRPr="005D463E">
              <w:rPr>
                <w:rFonts w:ascii="Candara" w:hAnsi="Candara"/>
                <w:b/>
                <w:sz w:val="16"/>
                <w:szCs w:val="16"/>
              </w:rPr>
              <w:t>Index test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3C8" w:rsidRPr="005D463E" w:rsidRDefault="002A53C8" w:rsidP="00B61A85">
            <w:pPr>
              <w:rPr>
                <w:rFonts w:ascii="Candara" w:hAnsi="Candara"/>
                <w:b/>
                <w:sz w:val="16"/>
                <w:szCs w:val="16"/>
              </w:rPr>
            </w:pPr>
            <w:r w:rsidRPr="005D463E">
              <w:rPr>
                <w:rFonts w:ascii="Candara" w:hAnsi="Candara"/>
                <w:b/>
                <w:sz w:val="16"/>
                <w:szCs w:val="16"/>
              </w:rPr>
              <w:t>Reference test</w:t>
            </w:r>
          </w:p>
        </w:tc>
      </w:tr>
      <w:tr w:rsidR="002A53C8" w:rsidTr="00B61A85">
        <w:tc>
          <w:tcPr>
            <w:tcW w:w="1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proofErr w:type="spellStart"/>
            <w:r w:rsidRPr="00F76186">
              <w:rPr>
                <w:rFonts w:ascii="Candara" w:hAnsi="Candara"/>
                <w:sz w:val="16"/>
                <w:szCs w:val="16"/>
              </w:rPr>
              <w:t>Segondy</w:t>
            </w:r>
            <w:proofErr w:type="spellEnd"/>
            <w:r w:rsidRPr="00F76186">
              <w:rPr>
                <w:rFonts w:ascii="Candara" w:hAnsi="Candara"/>
                <w:sz w:val="16"/>
                <w:szCs w:val="16"/>
              </w:rPr>
              <w:t xml:space="preserve"> et al, 2016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 w:rsidRPr="00F76186">
              <w:rPr>
                <w:rFonts w:ascii="Candara" w:eastAsia="Times New Roman" w:hAnsi="Candara" w:cs="Times New Roman"/>
                <w:color w:val="000000"/>
                <w:sz w:val="16"/>
                <w:szCs w:val="16"/>
                <w:lang w:eastAsia="en-GB"/>
              </w:rPr>
              <w:t>WLHIV</w:t>
            </w:r>
            <w:r>
              <w:rPr>
                <w:rFonts w:ascii="Candara" w:eastAsia="Times New Roman" w:hAnsi="Candara" w:cs="Times New Roman"/>
                <w:color w:val="000000"/>
                <w:sz w:val="16"/>
                <w:szCs w:val="16"/>
                <w:lang w:eastAsia="en-GB"/>
              </w:rPr>
              <w:t xml:space="preserve"> aged 25-50 years </w:t>
            </w:r>
            <w:r w:rsidRPr="00F76186">
              <w:rPr>
                <w:rFonts w:ascii="Candara" w:eastAsia="Times New Roman" w:hAnsi="Candara" w:cs="Times New Roman"/>
                <w:color w:val="000000"/>
                <w:sz w:val="16"/>
                <w:szCs w:val="16"/>
                <w:lang w:eastAsia="en-GB"/>
              </w:rPr>
              <w:t xml:space="preserve"> attending HIV outpatient and treatment centres in Ouagadougou and Johannesburg invited to participate in a study comparing cervical cancer screening methods.</w:t>
            </w:r>
            <w:r>
              <w:rPr>
                <w:rFonts w:ascii="Candara" w:eastAsia="Times New Roman" w:hAnsi="Candara" w:cs="Times New Roman"/>
                <w:color w:val="000000"/>
                <w:sz w:val="16"/>
                <w:szCs w:val="16"/>
                <w:lang w:eastAsia="en-GB"/>
              </w:rPr>
              <w:t xml:space="preserve"> Women with history of treatment for cervical cancer were excluded.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 w:rsidRPr="00F76186">
              <w:rPr>
                <w:rFonts w:ascii="Candara" w:hAnsi="Candara"/>
                <w:sz w:val="16"/>
                <w:szCs w:val="16"/>
              </w:rPr>
              <w:t>Pre-specified cut-off (1pg/ml); results of index test are masked towards reference test. Quality control of index test conducted.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53C8" w:rsidRPr="00F76186" w:rsidRDefault="002A53C8" w:rsidP="00B61A85">
            <w:pPr>
              <w:jc w:val="both"/>
              <w:rPr>
                <w:rFonts w:ascii="Candara" w:hAnsi="Candara" w:cs="Times New Roman"/>
                <w:sz w:val="16"/>
                <w:szCs w:val="16"/>
              </w:rPr>
            </w:pPr>
            <w:r w:rsidRPr="00F76186">
              <w:rPr>
                <w:rFonts w:ascii="Candara" w:hAnsi="Candara" w:cs="Times New Roman"/>
                <w:sz w:val="16"/>
                <w:szCs w:val="16"/>
                <w:lang w:val="en-US"/>
              </w:rPr>
              <w:t xml:space="preserve">All participants were referred for colposcopy performed by trained </w:t>
            </w:r>
            <w:proofErr w:type="spellStart"/>
            <w:r w:rsidRPr="00F76186">
              <w:rPr>
                <w:rFonts w:ascii="Candara" w:hAnsi="Candara" w:cs="Times New Roman"/>
                <w:sz w:val="16"/>
                <w:szCs w:val="16"/>
                <w:lang w:val="en-US"/>
              </w:rPr>
              <w:t>colposcopists</w:t>
            </w:r>
            <w:proofErr w:type="spellEnd"/>
            <w:r w:rsidRPr="00F76186">
              <w:rPr>
                <w:rFonts w:ascii="Candara" w:hAnsi="Candara" w:cs="Times New Roman"/>
                <w:sz w:val="16"/>
                <w:szCs w:val="16"/>
                <w:lang w:val="en-US"/>
              </w:rPr>
              <w:t xml:space="preserve">. </w:t>
            </w:r>
            <w:r w:rsidRPr="00F76186">
              <w:rPr>
                <w:rFonts w:ascii="Candara" w:hAnsi="Candara" w:cs="Times New Roman"/>
                <w:sz w:val="16"/>
                <w:szCs w:val="16"/>
                <w:lang w:val="en-ZA"/>
              </w:rPr>
              <w:t xml:space="preserve">Systematic 4-quadrant cervical biopsy, including directed biopsy of any suspicious lesions, was performed </w:t>
            </w:r>
            <w:r w:rsidRPr="00F76186">
              <w:rPr>
                <w:rFonts w:ascii="Candara" w:hAnsi="Candara" w:cs="Times New Roman"/>
                <w:sz w:val="16"/>
                <w:szCs w:val="16"/>
              </w:rPr>
              <w:t>for participants who had abnormalities detected by cytology, VIA/VILI or colposcopy, or who were HR-HPV DNA positive (</w:t>
            </w:r>
            <w:proofErr w:type="spellStart"/>
            <w:r w:rsidRPr="00F76186">
              <w:rPr>
                <w:rFonts w:ascii="Candara" w:hAnsi="Candara" w:cs="Times New Roman"/>
                <w:sz w:val="16"/>
                <w:szCs w:val="16"/>
              </w:rPr>
              <w:t>Digene</w:t>
            </w:r>
            <w:proofErr w:type="spellEnd"/>
            <w:r w:rsidRPr="00F76186">
              <w:rPr>
                <w:rFonts w:ascii="Candara" w:hAnsi="Candara" w:cs="Times New Roman"/>
                <w:sz w:val="16"/>
                <w:szCs w:val="16"/>
              </w:rPr>
              <w:t xml:space="preserve"> HC-II). All CIN2+ and 5% </w:t>
            </w:r>
            <w:r>
              <w:rPr>
                <w:rFonts w:ascii="Candara" w:hAnsi="Candara" w:cs="Times New Roman"/>
                <w:sz w:val="16"/>
                <w:szCs w:val="16"/>
              </w:rPr>
              <w:t xml:space="preserve">random sample </w:t>
            </w:r>
            <w:r w:rsidRPr="00F76186">
              <w:rPr>
                <w:rFonts w:ascii="Candara" w:hAnsi="Candara" w:cs="Times New Roman"/>
                <w:sz w:val="16"/>
                <w:szCs w:val="16"/>
              </w:rPr>
              <w:t xml:space="preserve">of ≤CIN1 determined by consensus of 5 </w:t>
            </w:r>
            <w:proofErr w:type="spellStart"/>
            <w:r w:rsidRPr="00F76186">
              <w:rPr>
                <w:rFonts w:ascii="Candara" w:hAnsi="Candara" w:cs="Times New Roman"/>
                <w:sz w:val="16"/>
                <w:szCs w:val="16"/>
              </w:rPr>
              <w:t>histopathologists</w:t>
            </w:r>
            <w:proofErr w:type="spellEnd"/>
            <w:r w:rsidRPr="00F76186">
              <w:rPr>
                <w:rFonts w:ascii="Candara" w:hAnsi="Candara" w:cs="Times New Roman"/>
                <w:sz w:val="16"/>
                <w:szCs w:val="16"/>
              </w:rPr>
              <w:t>.</w:t>
            </w:r>
            <w:r w:rsidRPr="00F76186">
              <w:rPr>
                <w:rFonts w:ascii="Candara" w:hAnsi="Candara"/>
                <w:sz w:val="16"/>
                <w:szCs w:val="16"/>
              </w:rPr>
              <w:t xml:space="preserve"> </w:t>
            </w:r>
            <w:r>
              <w:rPr>
                <w:rFonts w:ascii="Candara" w:hAnsi="Candara"/>
                <w:sz w:val="16"/>
                <w:szCs w:val="16"/>
              </w:rPr>
              <w:t>Participants negative for ALL of VIA/VILI, colposcopy, cytology and HR-HPV were not biopsied and considered CIN negative. R</w:t>
            </w:r>
            <w:r w:rsidRPr="00F76186">
              <w:rPr>
                <w:rFonts w:ascii="Candara" w:hAnsi="Candara"/>
                <w:sz w:val="16"/>
                <w:szCs w:val="16"/>
              </w:rPr>
              <w:t xml:space="preserve">esults of </w:t>
            </w:r>
            <w:r>
              <w:rPr>
                <w:rFonts w:ascii="Candara" w:hAnsi="Candara"/>
                <w:sz w:val="16"/>
                <w:szCs w:val="16"/>
              </w:rPr>
              <w:t>reference</w:t>
            </w:r>
            <w:r w:rsidRPr="00F76186">
              <w:rPr>
                <w:rFonts w:ascii="Candara" w:hAnsi="Candara"/>
                <w:sz w:val="16"/>
                <w:szCs w:val="16"/>
              </w:rPr>
              <w:t xml:space="preserve"> test are masked towards </w:t>
            </w:r>
            <w:r>
              <w:rPr>
                <w:rFonts w:ascii="Candara" w:hAnsi="Candara"/>
                <w:sz w:val="16"/>
                <w:szCs w:val="16"/>
              </w:rPr>
              <w:t>index</w:t>
            </w:r>
            <w:r w:rsidRPr="00F76186">
              <w:rPr>
                <w:rFonts w:ascii="Candara" w:hAnsi="Candara"/>
                <w:sz w:val="16"/>
                <w:szCs w:val="16"/>
              </w:rPr>
              <w:t xml:space="preserve"> test.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53C8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Flow: Inadequate test results and LTFU explained (6% LTFU or inadequate test result). </w:t>
            </w:r>
          </w:p>
          <w:p w:rsidR="002A53C8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Timing: Index test performed within 4 weeks of enrolment; </w:t>
            </w:r>
          </w:p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Reference test performed within 9 weeks of index test.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 w:rsidRPr="00F76186">
              <w:rPr>
                <w:rFonts w:ascii="Candara" w:hAnsi="Candara"/>
                <w:sz w:val="16"/>
                <w:szCs w:val="16"/>
              </w:rPr>
              <w:t>Low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Low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 w:rsidRPr="00F76186">
              <w:rPr>
                <w:rFonts w:ascii="Candara" w:hAnsi="Candara"/>
                <w:sz w:val="16"/>
                <w:szCs w:val="16"/>
              </w:rPr>
              <w:t>Low</w:t>
            </w:r>
          </w:p>
        </w:tc>
      </w:tr>
      <w:tr w:rsidR="002A53C8" w:rsidTr="00B61A85"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proofErr w:type="spellStart"/>
            <w:r>
              <w:rPr>
                <w:rFonts w:ascii="Candara" w:hAnsi="Candara"/>
                <w:sz w:val="16"/>
                <w:szCs w:val="16"/>
              </w:rPr>
              <w:t>Tuerxun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 xml:space="preserve"> et al, 2016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2A53C8" w:rsidRPr="009D6A99" w:rsidRDefault="002A53C8" w:rsidP="00B61A85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6"/>
              </w:rPr>
            </w:pPr>
            <w:r w:rsidRPr="009D6A99">
              <w:rPr>
                <w:rFonts w:ascii="Candara" w:hAnsi="Candara" w:cs="AdvTT7b515deb"/>
                <w:sz w:val="16"/>
                <w:szCs w:val="16"/>
              </w:rPr>
              <w:t xml:space="preserve">Women with </w:t>
            </w:r>
            <w:r>
              <w:rPr>
                <w:rFonts w:ascii="Candara" w:hAnsi="Candara" w:cs="AdvTT7b515deb"/>
                <w:sz w:val="16"/>
                <w:szCs w:val="16"/>
              </w:rPr>
              <w:t xml:space="preserve">positive results for VIA/VILI or cytology as part of </w:t>
            </w:r>
            <w:r w:rsidRPr="009D6A99">
              <w:rPr>
                <w:rFonts w:ascii="Candara" w:hAnsi="Candara" w:cs="AdvTT7b515deb"/>
                <w:sz w:val="16"/>
                <w:szCs w:val="16"/>
              </w:rPr>
              <w:t xml:space="preserve">opportunistic screenings for cervical cancer in the outpatient department of the Affiliated </w:t>
            </w:r>
            <w:proofErr w:type="spellStart"/>
            <w:r w:rsidRPr="009D6A99">
              <w:rPr>
                <w:rFonts w:ascii="Candara" w:hAnsi="Candara" w:cs="AdvTT7b515deb"/>
                <w:sz w:val="16"/>
                <w:szCs w:val="16"/>
              </w:rPr>
              <w:t>Tumor</w:t>
            </w:r>
            <w:proofErr w:type="spellEnd"/>
            <w:r w:rsidRPr="009D6A99">
              <w:rPr>
                <w:rFonts w:ascii="Candara" w:hAnsi="Candara" w:cs="AdvTT7b515deb"/>
                <w:sz w:val="16"/>
                <w:szCs w:val="16"/>
              </w:rPr>
              <w:t xml:space="preserve"> Hospital of</w:t>
            </w:r>
            <w:r>
              <w:rPr>
                <w:rFonts w:ascii="Candara" w:hAnsi="Candara" w:cs="AdvTT7b515deb"/>
                <w:sz w:val="16"/>
                <w:szCs w:val="16"/>
              </w:rPr>
              <w:t xml:space="preserve"> </w:t>
            </w:r>
            <w:r w:rsidRPr="009D6A99">
              <w:rPr>
                <w:rFonts w:ascii="Candara" w:hAnsi="Candara" w:cs="AdvTT7b515deb"/>
                <w:sz w:val="16"/>
                <w:szCs w:val="16"/>
              </w:rPr>
              <w:t>Xinjiang Medical Universit</w:t>
            </w:r>
            <w:r>
              <w:rPr>
                <w:rFonts w:ascii="Candara" w:hAnsi="Candara" w:cs="AdvTT7b515deb"/>
                <w:sz w:val="16"/>
                <w:szCs w:val="16"/>
              </w:rPr>
              <w:t xml:space="preserve">y </w:t>
            </w:r>
            <w:r w:rsidRPr="009D6A99">
              <w:rPr>
                <w:rFonts w:ascii="Candara" w:hAnsi="Candara" w:cs="AdvTT7b515deb"/>
                <w:sz w:val="16"/>
                <w:szCs w:val="16"/>
              </w:rPr>
              <w:t xml:space="preserve">were randomly </w:t>
            </w:r>
            <w:r>
              <w:rPr>
                <w:rFonts w:ascii="Candara" w:hAnsi="Candara" w:cs="AdvTT7b515deb"/>
                <w:sz w:val="16"/>
                <w:szCs w:val="16"/>
              </w:rPr>
              <w:t xml:space="preserve">selected for </w:t>
            </w:r>
            <w:proofErr w:type="spellStart"/>
            <w:r>
              <w:rPr>
                <w:rFonts w:ascii="Candara" w:hAnsi="Candara" w:cs="AdvTT7b515deb"/>
                <w:sz w:val="16"/>
                <w:szCs w:val="16"/>
              </w:rPr>
              <w:t>CareHPV</w:t>
            </w:r>
            <w:proofErr w:type="spellEnd"/>
            <w:r>
              <w:rPr>
                <w:rFonts w:ascii="Candara" w:hAnsi="Candara" w:cs="AdvTT7b515deb"/>
                <w:sz w:val="16"/>
                <w:szCs w:val="16"/>
              </w:rPr>
              <w:t xml:space="preserve"> and HC2 testing.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R</w:t>
            </w:r>
            <w:r w:rsidRPr="00F76186">
              <w:rPr>
                <w:rFonts w:ascii="Candara" w:hAnsi="Candara"/>
                <w:sz w:val="16"/>
                <w:szCs w:val="16"/>
              </w:rPr>
              <w:t>esults of index test are masked towards reference test.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2A53C8" w:rsidRPr="00932BAF" w:rsidRDefault="002A53C8" w:rsidP="00B61A85">
            <w:pPr>
              <w:autoSpaceDE w:val="0"/>
              <w:autoSpaceDN w:val="0"/>
              <w:adjustRightInd w:val="0"/>
              <w:rPr>
                <w:rFonts w:ascii="Candara" w:hAnsi="Candara" w:cs="AdvTT7b515deb"/>
                <w:sz w:val="16"/>
                <w:szCs w:val="16"/>
              </w:rPr>
            </w:pPr>
            <w:r w:rsidRPr="00932BAF">
              <w:rPr>
                <w:rFonts w:ascii="Candara" w:hAnsi="Candara" w:cs="AdvTT7b515deb"/>
                <w:sz w:val="16"/>
                <w:szCs w:val="16"/>
              </w:rPr>
              <w:t xml:space="preserve">Colposcopy performed for women with </w:t>
            </w:r>
          </w:p>
          <w:p w:rsidR="002A53C8" w:rsidRPr="00932BAF" w:rsidRDefault="002A53C8" w:rsidP="00B61A85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6"/>
              </w:rPr>
            </w:pPr>
            <w:r w:rsidRPr="00932BAF">
              <w:rPr>
                <w:rFonts w:ascii="Candara" w:hAnsi="Candara" w:cs="AdvTT7b515deb"/>
                <w:sz w:val="16"/>
                <w:szCs w:val="16"/>
              </w:rPr>
              <w:t xml:space="preserve">positive results from VIA/VILI or cytology and direct biopsy or four-quadrant biopsies were taken. </w:t>
            </w:r>
            <w:r>
              <w:rPr>
                <w:rFonts w:ascii="Candara" w:hAnsi="Candara"/>
                <w:sz w:val="16"/>
                <w:szCs w:val="16"/>
              </w:rPr>
              <w:t xml:space="preserve">No random selection of screen negative women for biopsy. </w:t>
            </w:r>
            <w:r>
              <w:rPr>
                <w:rFonts w:ascii="Candara" w:hAnsi="Candara" w:cs="Times New Roman"/>
                <w:sz w:val="16"/>
                <w:szCs w:val="16"/>
              </w:rPr>
              <w:t>Histopathological diagnosis</w:t>
            </w:r>
            <w:r w:rsidRPr="00F76186">
              <w:rPr>
                <w:rFonts w:ascii="Candara" w:hAnsi="Candara" w:cs="Times New Roman"/>
                <w:sz w:val="16"/>
                <w:szCs w:val="16"/>
              </w:rPr>
              <w:t xml:space="preserve"> determined by consensus o</w:t>
            </w:r>
            <w:r>
              <w:rPr>
                <w:rFonts w:ascii="Candara" w:hAnsi="Candara" w:cs="Times New Roman"/>
                <w:sz w:val="16"/>
                <w:szCs w:val="16"/>
              </w:rPr>
              <w:t xml:space="preserve">f 2 </w:t>
            </w:r>
            <w:proofErr w:type="spellStart"/>
            <w:r w:rsidRPr="00F76186">
              <w:rPr>
                <w:rFonts w:ascii="Candara" w:hAnsi="Candara" w:cs="Times New Roman"/>
                <w:sz w:val="16"/>
                <w:szCs w:val="16"/>
              </w:rPr>
              <w:t>histopathologists</w:t>
            </w:r>
            <w:proofErr w:type="spellEnd"/>
            <w:r>
              <w:rPr>
                <w:rFonts w:ascii="Candara" w:hAnsi="Candara" w:cs="Times New Roman"/>
                <w:sz w:val="16"/>
                <w:szCs w:val="16"/>
              </w:rPr>
              <w:t>.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2A53C8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Flow: Unclear; 212 women who were positive for VIA/VILI or cytology were selected for </w:t>
            </w:r>
            <w:proofErr w:type="spellStart"/>
            <w:r>
              <w:rPr>
                <w:rFonts w:ascii="Candara" w:hAnsi="Candara"/>
                <w:sz w:val="16"/>
                <w:szCs w:val="16"/>
              </w:rPr>
              <w:t>careHPV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 xml:space="preserve"> testing </w:t>
            </w:r>
          </w:p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Timing: Index test performed within 14 days of sample collection.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Moderate-high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Low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Moderate</w:t>
            </w:r>
          </w:p>
        </w:tc>
      </w:tr>
      <w:tr w:rsidR="002A53C8" w:rsidTr="00B61A85"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proofErr w:type="spellStart"/>
            <w:r>
              <w:rPr>
                <w:rFonts w:ascii="Candara" w:hAnsi="Candara"/>
                <w:sz w:val="16"/>
                <w:szCs w:val="16"/>
              </w:rPr>
              <w:t>Bansil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 xml:space="preserve"> et al, 2015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Women aged 25-60 from 5 districts in Kampala and </w:t>
            </w:r>
            <w:proofErr w:type="spellStart"/>
            <w:r>
              <w:rPr>
                <w:rFonts w:ascii="Candara" w:hAnsi="Candara"/>
                <w:sz w:val="16"/>
                <w:szCs w:val="16"/>
              </w:rPr>
              <w:t>Wakiso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 xml:space="preserve"> District invited to participate in screening study.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 w:rsidRPr="00F76186">
              <w:rPr>
                <w:rFonts w:ascii="Candara" w:hAnsi="Candara"/>
                <w:sz w:val="16"/>
                <w:szCs w:val="16"/>
              </w:rPr>
              <w:t xml:space="preserve">Pre-specified cut-off (1pg/ml); </w:t>
            </w:r>
            <w:r>
              <w:rPr>
                <w:rFonts w:ascii="Candara" w:hAnsi="Candara"/>
                <w:sz w:val="16"/>
                <w:szCs w:val="16"/>
              </w:rPr>
              <w:t>Results</w:t>
            </w:r>
            <w:r w:rsidRPr="00F76186">
              <w:rPr>
                <w:rFonts w:ascii="Candara" w:hAnsi="Candara"/>
                <w:sz w:val="16"/>
                <w:szCs w:val="16"/>
              </w:rPr>
              <w:t xml:space="preserve"> of index test are masked towards reference test. 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Women who were screen-negative (for all of VIA, cytology and </w:t>
            </w:r>
            <w:proofErr w:type="spellStart"/>
            <w:r>
              <w:rPr>
                <w:rFonts w:ascii="Candara" w:hAnsi="Candara"/>
                <w:sz w:val="16"/>
                <w:szCs w:val="16"/>
              </w:rPr>
              <w:t>careHPV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 xml:space="preserve">) were advised to return for screening in 3 years. Screen positive women (on any test) were referred to colposcopy and directed biopsy of any abnormal area.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53C8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Flow: Of 386 WLHIV eligible, 272 (72%) returned for follow-up and had adequate test results; of 1756 HIV-negative women eligible, 946 (54%) returned for follow-up and had adequate test results. (Bias in follow-up by HIV status, however results are stratified by HIV status). </w:t>
            </w:r>
          </w:p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Low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Low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Low</w:t>
            </w:r>
          </w:p>
        </w:tc>
      </w:tr>
      <w:tr w:rsidR="002A53C8" w:rsidTr="00B61A85"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proofErr w:type="spellStart"/>
            <w:r>
              <w:rPr>
                <w:rFonts w:ascii="Candara" w:hAnsi="Candara"/>
                <w:sz w:val="16"/>
                <w:szCs w:val="16"/>
              </w:rPr>
              <w:t>Jeronimo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 xml:space="preserve"> et al, 2014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Population based recruitment as part of a multisite demonstration project in India, Nicaragua and Uganda.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 w:rsidRPr="00F76186">
              <w:rPr>
                <w:rFonts w:ascii="Candara" w:hAnsi="Candara"/>
                <w:sz w:val="16"/>
                <w:szCs w:val="16"/>
              </w:rPr>
              <w:t xml:space="preserve">Pre-specified cut-off (1pg/ml); results of index test are masked towards reference test. 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Women who were screen-negative (for all of VIA, cytology and </w:t>
            </w:r>
            <w:proofErr w:type="spellStart"/>
            <w:r>
              <w:rPr>
                <w:rFonts w:ascii="Candara" w:hAnsi="Candara"/>
                <w:sz w:val="16"/>
                <w:szCs w:val="16"/>
              </w:rPr>
              <w:t>careHPV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 xml:space="preserve">) were advised to return for screening in 3 years. Screen positive women (on any test) were referred to colposcopy and directed biopsy of any abnormal area. A 10% random sample of negative biopsies and all CIN2+ positive histologic specimens were independently </w:t>
            </w:r>
            <w:r>
              <w:rPr>
                <w:rFonts w:ascii="Candara" w:hAnsi="Candara"/>
                <w:sz w:val="16"/>
                <w:szCs w:val="16"/>
              </w:rPr>
              <w:lastRenderedPageBreak/>
              <w:t xml:space="preserve">reviewed by an external pathologist blinded to original diagnosis. 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2A53C8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lastRenderedPageBreak/>
              <w:t xml:space="preserve">Flow: In India and Nicaragua, the proportion of women who returned for screening by all tests and with adequate tests results was high (94-95%), but lower in Uganda (67%). </w:t>
            </w:r>
          </w:p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Moderate (Uganda)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Low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Low</w:t>
            </w:r>
          </w:p>
        </w:tc>
      </w:tr>
      <w:tr w:rsidR="002A53C8" w:rsidTr="00B61A85"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53C8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Zhao et al, 2013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All women aged 25-65 living in chosen communes (</w:t>
            </w:r>
            <w:proofErr w:type="spellStart"/>
            <w:r>
              <w:rPr>
                <w:rFonts w:ascii="Candara" w:hAnsi="Candara"/>
                <w:sz w:val="16"/>
                <w:szCs w:val="16"/>
              </w:rPr>
              <w:t>Yangcheng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andara" w:hAnsi="Candara"/>
                <w:sz w:val="16"/>
                <w:szCs w:val="16"/>
              </w:rPr>
              <w:t>Xinmi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Candara" w:hAnsi="Candara"/>
                <w:sz w:val="16"/>
                <w:szCs w:val="16"/>
              </w:rPr>
              <w:t>Tonggu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 xml:space="preserve">) invited to participate in screening study.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proofErr w:type="spellStart"/>
            <w:r>
              <w:rPr>
                <w:rFonts w:ascii="Candara" w:hAnsi="Candara"/>
                <w:sz w:val="16"/>
                <w:szCs w:val="16"/>
              </w:rPr>
              <w:t>CareHPV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 xml:space="preserve">: </w:t>
            </w:r>
            <w:r w:rsidRPr="00F76186">
              <w:rPr>
                <w:rFonts w:ascii="Candara" w:hAnsi="Candara"/>
                <w:sz w:val="16"/>
                <w:szCs w:val="16"/>
              </w:rPr>
              <w:t xml:space="preserve">Pre-specified cut-off (1pg/ml); results of index test are masked towards reference test. </w:t>
            </w:r>
            <w:r>
              <w:rPr>
                <w:rFonts w:ascii="Candara" w:hAnsi="Candara"/>
                <w:sz w:val="16"/>
                <w:szCs w:val="16"/>
              </w:rPr>
              <w:t xml:space="preserve">OncoE6: </w:t>
            </w:r>
            <w:r w:rsidRPr="00F76186">
              <w:rPr>
                <w:rFonts w:ascii="Candara" w:hAnsi="Candara"/>
                <w:sz w:val="16"/>
                <w:szCs w:val="16"/>
              </w:rPr>
              <w:t>Quality control of test conducted.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Women who tested positive for any of the screening test (VIA, HPV E6, HC2 and </w:t>
            </w:r>
            <w:proofErr w:type="spellStart"/>
            <w:r>
              <w:rPr>
                <w:rFonts w:ascii="Candara" w:hAnsi="Candara"/>
                <w:sz w:val="16"/>
                <w:szCs w:val="16"/>
              </w:rPr>
              <w:t>careHPV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 xml:space="preserve"> ) and approximately 10% of screen-negative women were referred to colposcopy and biopsy. Biopsy taken on visible lesions. </w:t>
            </w:r>
            <w:r>
              <w:rPr>
                <w:rFonts w:ascii="Candara" w:hAnsi="Candara" w:cs="Times New Roman"/>
                <w:sz w:val="16"/>
                <w:szCs w:val="16"/>
              </w:rPr>
              <w:t>Histopathological diagnosis</w:t>
            </w:r>
            <w:r w:rsidRPr="00F76186">
              <w:rPr>
                <w:rFonts w:ascii="Candara" w:hAnsi="Candara" w:cs="Times New Roman"/>
                <w:sz w:val="16"/>
                <w:szCs w:val="16"/>
              </w:rPr>
              <w:t xml:space="preserve"> determined by consensus o</w:t>
            </w:r>
            <w:r>
              <w:rPr>
                <w:rFonts w:ascii="Candara" w:hAnsi="Candara" w:cs="Times New Roman"/>
                <w:sz w:val="16"/>
                <w:szCs w:val="16"/>
              </w:rPr>
              <w:t xml:space="preserve">f 2 </w:t>
            </w:r>
            <w:proofErr w:type="spellStart"/>
            <w:r w:rsidRPr="00F76186">
              <w:rPr>
                <w:rFonts w:ascii="Candara" w:hAnsi="Candara" w:cs="Times New Roman"/>
                <w:sz w:val="16"/>
                <w:szCs w:val="16"/>
              </w:rPr>
              <w:t>histopathologists</w:t>
            </w:r>
            <w:proofErr w:type="spellEnd"/>
            <w:r>
              <w:rPr>
                <w:rFonts w:ascii="Candara" w:hAnsi="Candara" w:cs="Times New Roman"/>
                <w:sz w:val="16"/>
                <w:szCs w:val="16"/>
              </w:rPr>
              <w:t xml:space="preserve"> based on worst diagnosis of biopsies</w:t>
            </w:r>
            <w:r w:rsidRPr="00F76186">
              <w:rPr>
                <w:rFonts w:ascii="Candara" w:hAnsi="Candara" w:cs="Times New Roman"/>
                <w:sz w:val="16"/>
                <w:szCs w:val="16"/>
              </w:rPr>
              <w:t>.</w:t>
            </w:r>
            <w:r w:rsidRPr="00F76186">
              <w:rPr>
                <w:rFonts w:ascii="Candara" w:hAnsi="Candara"/>
                <w:sz w:val="16"/>
                <w:szCs w:val="16"/>
              </w:rPr>
              <w:t xml:space="preserve"> </w:t>
            </w:r>
            <w:r>
              <w:rPr>
                <w:rFonts w:ascii="Candara" w:hAnsi="Candara"/>
                <w:sz w:val="16"/>
                <w:szCs w:val="16"/>
              </w:rPr>
              <w:t>Participants not indicated for biopsy or with negative histology finding were considered CIN negative.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53C8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Flow: Of 7543 recruited, 7541 (99.9%) were screened and 7421 (98%) had adequate results.</w:t>
            </w:r>
          </w:p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Low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Low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Low</w:t>
            </w:r>
          </w:p>
        </w:tc>
      </w:tr>
      <w:tr w:rsidR="002A53C8" w:rsidTr="00B61A85"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2A53C8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Gage et al, 2012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Women attending a population –based HPV prevalence study in Irun, Nigeria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Study described training of lab technicians on </w:t>
            </w:r>
            <w:proofErr w:type="spellStart"/>
            <w:r>
              <w:rPr>
                <w:rFonts w:ascii="Candara" w:hAnsi="Candara"/>
                <w:sz w:val="16"/>
                <w:szCs w:val="16"/>
              </w:rPr>
              <w:t>careHPV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 xml:space="preserve"> test and quality control of testing, indicating high agreement between independent users (96%). 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At colposcopy visit (indicated if VIA, LBC or HR-HPV PCR positive), up to 4 </w:t>
            </w:r>
            <w:proofErr w:type="spellStart"/>
            <w:r>
              <w:rPr>
                <w:rFonts w:ascii="Candara" w:hAnsi="Candara"/>
                <w:sz w:val="16"/>
                <w:szCs w:val="16"/>
              </w:rPr>
              <w:t>acetowhite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 xml:space="preserve"> areas were biopsied. Biopsy tissue preserved in 10% formalin and processed and read in US.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:rsidR="002A53C8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Flow: Among 500 women screened, 387 (69%) were positive for any of VIA, liquid-based cytology (LBC) or HR-HPV by PCR and were referred to colposcopy and </w:t>
            </w:r>
            <w:proofErr w:type="spellStart"/>
            <w:r>
              <w:rPr>
                <w:rFonts w:ascii="Candara" w:hAnsi="Candara"/>
                <w:sz w:val="16"/>
                <w:szCs w:val="16"/>
              </w:rPr>
              <w:t>careHPV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 xml:space="preserve"> testing. A random selection of screen-negative women were selected (42 of 67 (63% of all screen-negative)</w:t>
            </w:r>
          </w:p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Timing: </w:t>
            </w:r>
            <w:proofErr w:type="spellStart"/>
            <w:r>
              <w:rPr>
                <w:rFonts w:ascii="Candara" w:hAnsi="Candara"/>
                <w:sz w:val="16"/>
                <w:szCs w:val="16"/>
              </w:rPr>
              <w:t>careHPV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 xml:space="preserve"> samples tested within 2 weeks of visit. 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Moderate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Low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Low</w:t>
            </w:r>
          </w:p>
        </w:tc>
      </w:tr>
      <w:tr w:rsidR="002A53C8" w:rsidTr="00B61A85"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53C8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proofErr w:type="spellStart"/>
            <w:r>
              <w:rPr>
                <w:rFonts w:ascii="Candara" w:hAnsi="Candara"/>
                <w:sz w:val="16"/>
                <w:szCs w:val="16"/>
              </w:rPr>
              <w:t>Qiao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 xml:space="preserve"> et al, 2008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Women aged 30-54 years with no history of CIN living in rural villages in Shanxi Province, China screened for cervical cancer. Randomised cluster sampling method used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 w:rsidRPr="00F76186">
              <w:rPr>
                <w:rFonts w:ascii="Candara" w:hAnsi="Candara"/>
                <w:sz w:val="16"/>
                <w:szCs w:val="16"/>
              </w:rPr>
              <w:t xml:space="preserve">Pre-specified cut-off (1pg/ml); results of index test are masked towards reference test. </w:t>
            </w:r>
          </w:p>
        </w:tc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Women who were negative on colposcopy, but had abnormal liquid-</w:t>
            </w:r>
            <w:proofErr w:type="spellStart"/>
            <w:r>
              <w:rPr>
                <w:rFonts w:ascii="Candara" w:hAnsi="Candara"/>
                <w:sz w:val="16"/>
                <w:szCs w:val="16"/>
              </w:rPr>
              <w:t>basd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 xml:space="preserve"> cytology (ASCH, LSIL or HSIL or higher), unsatisfactory cytology, positive HCII or </w:t>
            </w:r>
            <w:proofErr w:type="spellStart"/>
            <w:r>
              <w:rPr>
                <w:rFonts w:ascii="Candara" w:hAnsi="Candara"/>
                <w:sz w:val="16"/>
                <w:szCs w:val="16"/>
              </w:rPr>
              <w:t>CareHPV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 xml:space="preserve"> were recalled for second colposcopy and four-quadrant biopsy. </w:t>
            </w:r>
            <w:r>
              <w:rPr>
                <w:rFonts w:ascii="Candara" w:hAnsi="Candara" w:cs="Times New Roman"/>
                <w:sz w:val="16"/>
                <w:szCs w:val="16"/>
              </w:rPr>
              <w:t>All CIN2+ and 10</w:t>
            </w:r>
            <w:r w:rsidRPr="00F76186">
              <w:rPr>
                <w:rFonts w:ascii="Candara" w:hAnsi="Candara" w:cs="Times New Roman"/>
                <w:sz w:val="16"/>
                <w:szCs w:val="16"/>
              </w:rPr>
              <w:t xml:space="preserve">% </w:t>
            </w:r>
            <w:r>
              <w:rPr>
                <w:rFonts w:ascii="Candara" w:hAnsi="Candara" w:cs="Times New Roman"/>
                <w:sz w:val="16"/>
                <w:szCs w:val="16"/>
              </w:rPr>
              <w:t xml:space="preserve">random sample </w:t>
            </w:r>
            <w:r w:rsidRPr="00F76186">
              <w:rPr>
                <w:rFonts w:ascii="Candara" w:hAnsi="Candara" w:cs="Times New Roman"/>
                <w:sz w:val="16"/>
                <w:szCs w:val="16"/>
              </w:rPr>
              <w:t>of ≤CIN1 determined by consensus o</w:t>
            </w:r>
            <w:r>
              <w:rPr>
                <w:rFonts w:ascii="Candara" w:hAnsi="Candara" w:cs="Times New Roman"/>
                <w:sz w:val="16"/>
                <w:szCs w:val="16"/>
              </w:rPr>
              <w:t>f 3</w:t>
            </w:r>
            <w:r w:rsidRPr="00F76186">
              <w:rPr>
                <w:rFonts w:ascii="Candara" w:hAnsi="Candara" w:cs="Times New Roman"/>
                <w:sz w:val="16"/>
                <w:szCs w:val="16"/>
              </w:rPr>
              <w:t xml:space="preserve"> </w:t>
            </w:r>
            <w:proofErr w:type="spellStart"/>
            <w:r w:rsidRPr="00F76186">
              <w:rPr>
                <w:rFonts w:ascii="Candara" w:hAnsi="Candara" w:cs="Times New Roman"/>
                <w:sz w:val="16"/>
                <w:szCs w:val="16"/>
              </w:rPr>
              <w:t>histopathologists</w:t>
            </w:r>
            <w:proofErr w:type="spellEnd"/>
            <w:r w:rsidRPr="00F76186">
              <w:rPr>
                <w:rFonts w:ascii="Candara" w:hAnsi="Candara" w:cs="Times New Roman"/>
                <w:sz w:val="16"/>
                <w:szCs w:val="16"/>
              </w:rPr>
              <w:t>.</w:t>
            </w:r>
            <w:r w:rsidRPr="00F76186">
              <w:rPr>
                <w:rFonts w:ascii="Candara" w:hAnsi="Candara"/>
                <w:sz w:val="16"/>
                <w:szCs w:val="16"/>
              </w:rPr>
              <w:t xml:space="preserve"> </w:t>
            </w:r>
            <w:r>
              <w:rPr>
                <w:rFonts w:ascii="Candara" w:hAnsi="Candara"/>
                <w:sz w:val="16"/>
                <w:szCs w:val="16"/>
              </w:rPr>
              <w:t>Participants not indicated for biopsy or with negative histology finding were considered CIN negative.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53C8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Flow: Of 3721 women recruited, 2530 (68%) were enrolled; 6% with incomplete data. </w:t>
            </w:r>
          </w:p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Moderate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Low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Low</w:t>
            </w:r>
          </w:p>
        </w:tc>
      </w:tr>
      <w:tr w:rsidR="002A53C8" w:rsidTr="00B61A85"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3C8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proofErr w:type="spellStart"/>
            <w:r>
              <w:rPr>
                <w:rFonts w:ascii="Candara" w:hAnsi="Candara"/>
                <w:sz w:val="16"/>
                <w:szCs w:val="16"/>
              </w:rPr>
              <w:t>Chibwesha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 xml:space="preserve"> et al, 2016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WLHIV attending screening at University Teaching Hospital, Lusaka, Zambia were invited to participate.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Unclear masking towards reference test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All participants underwent 2-quadrant biopsy (from areas of transformation zone that appeared abnormal/</w:t>
            </w:r>
            <w:proofErr w:type="spellStart"/>
            <w:r>
              <w:rPr>
                <w:rFonts w:ascii="Candara" w:hAnsi="Candara"/>
                <w:sz w:val="16"/>
                <w:szCs w:val="16"/>
              </w:rPr>
              <w:t>acetowhite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 xml:space="preserve"> areas, and for women with no </w:t>
            </w:r>
            <w:proofErr w:type="spellStart"/>
            <w:r>
              <w:rPr>
                <w:rFonts w:ascii="Candara" w:hAnsi="Candara"/>
                <w:sz w:val="16"/>
                <w:szCs w:val="16"/>
              </w:rPr>
              <w:t>acetowhite</w:t>
            </w:r>
            <w:proofErr w:type="spellEnd"/>
            <w:r>
              <w:rPr>
                <w:rFonts w:ascii="Candara" w:hAnsi="Candara"/>
                <w:sz w:val="16"/>
                <w:szCs w:val="16"/>
              </w:rPr>
              <w:t xml:space="preserve"> changes, biopsies were taken form 6 o’clock and 12 o’clock position). Cervical biopsies read by certified pathologist.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3C8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Flow: Unclear</w:t>
            </w:r>
          </w:p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Timing: Unclear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Moderate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Low-Moderate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3C8" w:rsidRPr="00F76186" w:rsidRDefault="002A53C8" w:rsidP="00B61A85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Low-Moderate</w:t>
            </w:r>
          </w:p>
        </w:tc>
      </w:tr>
    </w:tbl>
    <w:p w:rsidR="00033869" w:rsidRDefault="00033869" w:rsidP="001D624B">
      <w:pPr>
        <w:spacing w:after="0" w:line="240" w:lineRule="auto"/>
        <w:rPr>
          <w:rFonts w:ascii="Candara" w:eastAsia="Times New Roman" w:hAnsi="Candara" w:cs="Segoe UI"/>
          <w:lang w:eastAsia="en-GB"/>
        </w:rPr>
      </w:pPr>
    </w:p>
    <w:p w:rsidR="00033869" w:rsidRDefault="00033869" w:rsidP="001D624B">
      <w:pPr>
        <w:spacing w:after="0" w:line="240" w:lineRule="auto"/>
        <w:rPr>
          <w:rFonts w:ascii="Candara" w:eastAsia="Times New Roman" w:hAnsi="Candara" w:cs="Segoe UI"/>
          <w:lang w:eastAsia="en-GB"/>
        </w:rPr>
      </w:pPr>
    </w:p>
    <w:p w:rsidR="00E569F6" w:rsidRDefault="00E569F6" w:rsidP="00BA7E55">
      <w:pPr>
        <w:spacing w:after="0" w:line="240" w:lineRule="auto"/>
        <w:rPr>
          <w:rFonts w:ascii="Candara" w:hAnsi="Candara"/>
          <w:sz w:val="18"/>
        </w:rPr>
        <w:sectPr w:rsidR="00E569F6" w:rsidSect="00CD7D2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E569F6" w:rsidRPr="00E640FD" w:rsidRDefault="00E569F6" w:rsidP="00E569F6">
      <w:pPr>
        <w:rPr>
          <w:rFonts w:ascii="Candara" w:hAnsi="Candara"/>
          <w:b/>
        </w:rPr>
      </w:pPr>
      <w:r>
        <w:rPr>
          <w:rFonts w:ascii="Candara" w:hAnsi="Candara"/>
          <w:b/>
        </w:rPr>
        <w:lastRenderedPageBreak/>
        <w:t>Supplementary Figure 1</w:t>
      </w:r>
      <w:r w:rsidRPr="00F71680">
        <w:rPr>
          <w:rFonts w:ascii="Candara" w:hAnsi="Candara"/>
          <w:b/>
        </w:rPr>
        <w:t>. Summary receiver operating characteristic</w:t>
      </w:r>
      <w:r w:rsidRPr="00E640FD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>(</w:t>
      </w:r>
      <w:r w:rsidRPr="00E640FD">
        <w:rPr>
          <w:rFonts w:ascii="Candara" w:hAnsi="Candara"/>
          <w:b/>
        </w:rPr>
        <w:t>HSROC</w:t>
      </w:r>
      <w:r>
        <w:rPr>
          <w:rFonts w:ascii="Candara" w:hAnsi="Candara"/>
          <w:b/>
        </w:rPr>
        <w:t>)</w:t>
      </w:r>
      <w:r w:rsidRPr="00E640FD">
        <w:rPr>
          <w:rFonts w:ascii="Candara" w:hAnsi="Candara"/>
          <w:b/>
        </w:rPr>
        <w:t xml:space="preserve"> of </w:t>
      </w:r>
      <w:r>
        <w:rPr>
          <w:rFonts w:ascii="Candara" w:hAnsi="Candara"/>
          <w:b/>
        </w:rPr>
        <w:t xml:space="preserve">the </w:t>
      </w:r>
      <w:proofErr w:type="spellStart"/>
      <w:r w:rsidRPr="00F71680">
        <w:rPr>
          <w:rFonts w:ascii="Candara" w:hAnsi="Candara"/>
          <w:b/>
          <w:i/>
        </w:rPr>
        <w:t>care</w:t>
      </w:r>
      <w:r w:rsidRPr="00E640FD">
        <w:rPr>
          <w:rFonts w:ascii="Candara" w:hAnsi="Candara"/>
          <w:b/>
        </w:rPr>
        <w:t>HPV</w:t>
      </w:r>
      <w:proofErr w:type="spellEnd"/>
      <w:r>
        <w:rPr>
          <w:rFonts w:ascii="Candara" w:hAnsi="Candara"/>
          <w:b/>
        </w:rPr>
        <w:t xml:space="preserve"> test</w:t>
      </w:r>
      <w:r w:rsidRPr="00E640FD">
        <w:rPr>
          <w:rFonts w:ascii="Candara" w:hAnsi="Candara"/>
          <w:b/>
        </w:rPr>
        <w:t xml:space="preserve"> for CIN2+ (A</w:t>
      </w:r>
      <w:r>
        <w:rPr>
          <w:rFonts w:ascii="Candara" w:hAnsi="Candara"/>
          <w:b/>
        </w:rPr>
        <w:t>) and CIN3+ (B) using clinician-</w:t>
      </w:r>
      <w:r w:rsidRPr="00E640FD">
        <w:rPr>
          <w:rFonts w:ascii="Candara" w:hAnsi="Candara"/>
          <w:b/>
        </w:rPr>
        <w:t xml:space="preserve">collected cervical swabs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E569F6" w:rsidRPr="00E640FD" w:rsidTr="004E3FDA">
        <w:tc>
          <w:tcPr>
            <w:tcW w:w="3681" w:type="dxa"/>
          </w:tcPr>
          <w:p w:rsidR="00E569F6" w:rsidRPr="00E640FD" w:rsidRDefault="00E569F6" w:rsidP="00E569F6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b/>
              </w:rPr>
            </w:pPr>
            <w:r w:rsidRPr="00E640FD">
              <w:rPr>
                <w:rFonts w:ascii="Candara" w:hAnsi="Candara"/>
                <w:b/>
              </w:rPr>
              <w:t xml:space="preserve">CIN2+ </w:t>
            </w:r>
          </w:p>
        </w:tc>
        <w:tc>
          <w:tcPr>
            <w:tcW w:w="5335" w:type="dxa"/>
          </w:tcPr>
          <w:p w:rsidR="00E569F6" w:rsidRPr="00E640FD" w:rsidRDefault="00E569F6" w:rsidP="00E569F6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b/>
              </w:rPr>
            </w:pPr>
            <w:r w:rsidRPr="00E640FD">
              <w:rPr>
                <w:rFonts w:ascii="Candara" w:hAnsi="Candara"/>
                <w:b/>
              </w:rPr>
              <w:t>CIN3+</w:t>
            </w:r>
          </w:p>
        </w:tc>
      </w:tr>
    </w:tbl>
    <w:p w:rsidR="0056190B" w:rsidRDefault="00E569F6" w:rsidP="00BA7E55">
      <w:pPr>
        <w:spacing w:after="0" w:line="240" w:lineRule="auto"/>
        <w:rPr>
          <w:rFonts w:ascii="Candara" w:hAnsi="Candara"/>
          <w:noProof/>
          <w:lang w:eastAsia="en-GB"/>
        </w:rPr>
      </w:pPr>
      <w:r w:rsidRPr="00156699">
        <w:rPr>
          <w:rFonts w:ascii="Candara" w:hAnsi="Candara"/>
          <w:noProof/>
          <w:lang w:eastAsia="en-GB"/>
        </w:rPr>
        <w:drawing>
          <wp:inline distT="0" distB="0" distL="0" distR="0" wp14:anchorId="36B780A9" wp14:editId="38CFA1D8">
            <wp:extent cx="2340000" cy="2911603"/>
            <wp:effectExtent l="0" t="0" r="3175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291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6699">
        <w:rPr>
          <w:rFonts w:ascii="Candara" w:hAnsi="Candara"/>
          <w:noProof/>
          <w:lang w:eastAsia="en-GB"/>
        </w:rPr>
        <w:t xml:space="preserve"> </w:t>
      </w:r>
      <w:r w:rsidRPr="00015977">
        <w:rPr>
          <w:rFonts w:ascii="Candara" w:hAnsi="Candara"/>
          <w:noProof/>
          <w:lang w:eastAsia="en-GB"/>
        </w:rPr>
        <w:drawing>
          <wp:inline distT="0" distB="0" distL="0" distR="0" wp14:anchorId="1080BC21" wp14:editId="35BDFD9A">
            <wp:extent cx="2340000" cy="2911312"/>
            <wp:effectExtent l="0" t="0" r="317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291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F20" w:rsidRDefault="001A5F20" w:rsidP="00E569F6">
      <w:pPr>
        <w:rPr>
          <w:rFonts w:ascii="Candara" w:hAnsi="Candara"/>
          <w:b/>
        </w:rPr>
      </w:pPr>
    </w:p>
    <w:p w:rsidR="00E569F6" w:rsidRPr="00E640FD" w:rsidRDefault="00F85C23" w:rsidP="00E569F6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Supplementary Figure </w:t>
      </w:r>
      <w:bookmarkStart w:id="0" w:name="_GoBack"/>
      <w:bookmarkEnd w:id="0"/>
      <w:r w:rsidR="00E569F6">
        <w:rPr>
          <w:rFonts w:ascii="Candara" w:hAnsi="Candara"/>
          <w:b/>
        </w:rPr>
        <w:t>2</w:t>
      </w:r>
      <w:r w:rsidR="00E569F6" w:rsidRPr="00E640FD">
        <w:rPr>
          <w:rFonts w:ascii="Candara" w:hAnsi="Candara"/>
          <w:b/>
        </w:rPr>
        <w:t xml:space="preserve">. </w:t>
      </w:r>
      <w:r w:rsidR="00E569F6" w:rsidRPr="00F71680">
        <w:rPr>
          <w:rFonts w:ascii="Candara" w:hAnsi="Candara"/>
          <w:b/>
        </w:rPr>
        <w:t>Summary receiver operating characteristic</w:t>
      </w:r>
      <w:r w:rsidR="00E569F6" w:rsidRPr="00E640FD">
        <w:rPr>
          <w:rFonts w:ascii="Candara" w:hAnsi="Candara"/>
          <w:b/>
        </w:rPr>
        <w:t xml:space="preserve"> </w:t>
      </w:r>
      <w:r w:rsidR="00E569F6">
        <w:rPr>
          <w:rFonts w:ascii="Candara" w:hAnsi="Candara"/>
          <w:b/>
        </w:rPr>
        <w:t>(</w:t>
      </w:r>
      <w:r w:rsidR="00E569F6" w:rsidRPr="00E640FD">
        <w:rPr>
          <w:rFonts w:ascii="Candara" w:hAnsi="Candara"/>
          <w:b/>
        </w:rPr>
        <w:t>HSROC</w:t>
      </w:r>
      <w:r w:rsidR="00E569F6">
        <w:rPr>
          <w:rFonts w:ascii="Candara" w:hAnsi="Candara"/>
          <w:b/>
        </w:rPr>
        <w:t>)</w:t>
      </w:r>
      <w:r w:rsidR="00E569F6" w:rsidRPr="00E640FD">
        <w:rPr>
          <w:rFonts w:ascii="Candara" w:hAnsi="Candara"/>
          <w:b/>
        </w:rPr>
        <w:t xml:space="preserve"> of </w:t>
      </w:r>
      <w:r w:rsidR="00E569F6">
        <w:rPr>
          <w:rFonts w:ascii="Candara" w:hAnsi="Candara"/>
          <w:b/>
        </w:rPr>
        <w:t xml:space="preserve">the </w:t>
      </w:r>
      <w:proofErr w:type="spellStart"/>
      <w:r w:rsidR="00E569F6" w:rsidRPr="00F71680">
        <w:rPr>
          <w:rFonts w:ascii="Candara" w:hAnsi="Candara"/>
          <w:b/>
          <w:i/>
        </w:rPr>
        <w:t>care</w:t>
      </w:r>
      <w:r w:rsidR="00E569F6" w:rsidRPr="00E640FD">
        <w:rPr>
          <w:rFonts w:ascii="Candara" w:hAnsi="Candara"/>
          <w:b/>
        </w:rPr>
        <w:t>HPV</w:t>
      </w:r>
      <w:proofErr w:type="spellEnd"/>
      <w:r w:rsidR="00E569F6" w:rsidRPr="00E640FD">
        <w:rPr>
          <w:rFonts w:ascii="Candara" w:hAnsi="Candara"/>
          <w:b/>
        </w:rPr>
        <w:t xml:space="preserve"> </w:t>
      </w:r>
      <w:r w:rsidR="00E569F6">
        <w:rPr>
          <w:rFonts w:ascii="Candara" w:hAnsi="Candara"/>
          <w:b/>
        </w:rPr>
        <w:t xml:space="preserve">test </w:t>
      </w:r>
      <w:r w:rsidR="00E569F6" w:rsidRPr="00E640FD">
        <w:rPr>
          <w:rFonts w:ascii="Candara" w:hAnsi="Candara"/>
          <w:b/>
        </w:rPr>
        <w:t xml:space="preserve">for CIN2+ (C) and CIN3+ (D) using self-collected vaginal swabs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35"/>
      </w:tblGrid>
      <w:tr w:rsidR="00E569F6" w:rsidRPr="00E640FD" w:rsidTr="004E3FDA">
        <w:tc>
          <w:tcPr>
            <w:tcW w:w="3681" w:type="dxa"/>
          </w:tcPr>
          <w:p w:rsidR="00E569F6" w:rsidRPr="00E640FD" w:rsidRDefault="00E569F6" w:rsidP="001A5F20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b/>
              </w:rPr>
            </w:pPr>
            <w:r w:rsidRPr="00E640FD">
              <w:rPr>
                <w:rFonts w:ascii="Candara" w:hAnsi="Candara"/>
                <w:b/>
              </w:rPr>
              <w:t xml:space="preserve">CIN2+ </w:t>
            </w:r>
          </w:p>
        </w:tc>
        <w:tc>
          <w:tcPr>
            <w:tcW w:w="5335" w:type="dxa"/>
          </w:tcPr>
          <w:p w:rsidR="00E569F6" w:rsidRPr="00E640FD" w:rsidRDefault="00E569F6" w:rsidP="001A5F20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b/>
              </w:rPr>
            </w:pPr>
            <w:r w:rsidRPr="00E640FD">
              <w:rPr>
                <w:rFonts w:ascii="Candara" w:hAnsi="Candara"/>
                <w:b/>
              </w:rPr>
              <w:t>CIN3+</w:t>
            </w:r>
          </w:p>
        </w:tc>
      </w:tr>
    </w:tbl>
    <w:p w:rsidR="00E569F6" w:rsidRPr="00FD5538" w:rsidRDefault="00E569F6" w:rsidP="00BA7E55">
      <w:pPr>
        <w:spacing w:after="0" w:line="240" w:lineRule="auto"/>
        <w:rPr>
          <w:rFonts w:ascii="Candara" w:hAnsi="Candara"/>
          <w:sz w:val="18"/>
        </w:rPr>
      </w:pPr>
      <w:r w:rsidRPr="000160C6">
        <w:rPr>
          <w:rFonts w:ascii="Candara" w:hAnsi="Candara"/>
          <w:noProof/>
          <w:lang w:eastAsia="en-GB"/>
        </w:rPr>
        <w:drawing>
          <wp:inline distT="0" distB="0" distL="0" distR="0" wp14:anchorId="4A68A31C" wp14:editId="2B464CC1">
            <wp:extent cx="2340000" cy="2911603"/>
            <wp:effectExtent l="0" t="0" r="3175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291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BC0">
        <w:rPr>
          <w:rFonts w:ascii="Candara" w:hAnsi="Candara"/>
          <w:noProof/>
          <w:lang w:eastAsia="en-GB"/>
        </w:rPr>
        <w:drawing>
          <wp:inline distT="0" distB="0" distL="0" distR="0" wp14:anchorId="42FB4AF3" wp14:editId="3D772704">
            <wp:extent cx="2343534" cy="29160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534" cy="29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69F6" w:rsidRPr="00FD5538" w:rsidSect="00E56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dvTT7b515de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E475F"/>
    <w:multiLevelType w:val="hybridMultilevel"/>
    <w:tmpl w:val="9F8C4568"/>
    <w:lvl w:ilvl="0" w:tplc="86F4E3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D01C7"/>
    <w:multiLevelType w:val="hybridMultilevel"/>
    <w:tmpl w:val="A4FE3462"/>
    <w:lvl w:ilvl="0" w:tplc="86F4E3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3E"/>
    <w:rsid w:val="00033869"/>
    <w:rsid w:val="000747B8"/>
    <w:rsid w:val="000D78B7"/>
    <w:rsid w:val="000F1DEE"/>
    <w:rsid w:val="001366CA"/>
    <w:rsid w:val="001A5F20"/>
    <w:rsid w:val="001D624B"/>
    <w:rsid w:val="0028135C"/>
    <w:rsid w:val="002A53C8"/>
    <w:rsid w:val="00322B32"/>
    <w:rsid w:val="004F155B"/>
    <w:rsid w:val="0056190B"/>
    <w:rsid w:val="00620C3E"/>
    <w:rsid w:val="00621A6A"/>
    <w:rsid w:val="00803582"/>
    <w:rsid w:val="008865FC"/>
    <w:rsid w:val="00BA7E55"/>
    <w:rsid w:val="00C67E09"/>
    <w:rsid w:val="00CD2B5F"/>
    <w:rsid w:val="00CD7D2F"/>
    <w:rsid w:val="00CE3C61"/>
    <w:rsid w:val="00D45748"/>
    <w:rsid w:val="00E569F6"/>
    <w:rsid w:val="00E802A3"/>
    <w:rsid w:val="00EC6386"/>
    <w:rsid w:val="00F85C23"/>
    <w:rsid w:val="00F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7A4B0"/>
  <w15:chartTrackingRefBased/>
  <w15:docId w15:val="{BCFB7673-1F6E-48E6-8226-79EA569A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569F6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56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Kelly</dc:creator>
  <cp:keywords/>
  <dc:description/>
  <cp:lastModifiedBy>Helen Kelly</cp:lastModifiedBy>
  <cp:revision>4</cp:revision>
  <dcterms:created xsi:type="dcterms:W3CDTF">2017-06-17T08:29:00Z</dcterms:created>
  <dcterms:modified xsi:type="dcterms:W3CDTF">2017-06-17T09:20:00Z</dcterms:modified>
</cp:coreProperties>
</file>